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7D721D" w14:textId="77777777" w:rsidR="00242188" w:rsidRPr="00242188" w:rsidRDefault="00242188" w:rsidP="00242188">
      <w:pPr>
        <w:rPr>
          <w:b/>
          <w:bCs/>
        </w:rPr>
      </w:pPr>
      <w:r w:rsidRPr="00242188">
        <w:rPr>
          <w:b/>
          <w:bCs/>
        </w:rPr>
        <w:t>Do People Need a New World Model? (v2.0)</w:t>
      </w:r>
    </w:p>
    <w:p w14:paraId="008FA37F" w14:textId="77777777" w:rsidR="00242188" w:rsidRPr="00242188" w:rsidRDefault="00242188" w:rsidP="00242188">
      <w:r w:rsidRPr="00242188">
        <w:rPr>
          <w:b/>
          <w:bCs/>
        </w:rPr>
        <w:t>CCR@VUCA, Software 3.0, and Human Re-Orientation</w:t>
      </w:r>
    </w:p>
    <w:p w14:paraId="217FF46A" w14:textId="77777777" w:rsidR="00242188" w:rsidRPr="00242188" w:rsidRDefault="00242188" w:rsidP="00242188">
      <w:r w:rsidRPr="00242188">
        <w:t>Mike R. Jay, Developmentalist</w:t>
      </w:r>
      <w:r w:rsidRPr="00242188">
        <w:br/>
        <w:t>LeadU.ai/news</w:t>
      </w:r>
    </w:p>
    <w:p w14:paraId="44D03F9B" w14:textId="77777777" w:rsidR="00242188" w:rsidRPr="00242188" w:rsidRDefault="00242188" w:rsidP="00242188">
      <w:r w:rsidRPr="00242188">
        <w:t>© Mike R. Jay &amp; LeadU.com. All rights reserved.</w:t>
      </w:r>
    </w:p>
    <w:p w14:paraId="0424EC06" w14:textId="77777777" w:rsidR="00242188" w:rsidRPr="00242188" w:rsidRDefault="0028554E" w:rsidP="00242188">
      <w:r>
        <w:rPr>
          <w:noProof/>
        </w:rPr>
        <w:pict w14:anchorId="00D66A56">
          <v:rect id="_x0000_i1030" alt="" style="width:468pt;height:.05pt;mso-width-percent:0;mso-height-percent:0;mso-width-percent:0;mso-height-percent:0" o:hralign="center" o:hrstd="t" o:hr="t" fillcolor="#a0a0a0" stroked="f"/>
        </w:pict>
      </w:r>
    </w:p>
    <w:p w14:paraId="177F61B9" w14:textId="77777777" w:rsidR="00242188" w:rsidRPr="00242188" w:rsidRDefault="00242188" w:rsidP="00242188">
      <w:pPr>
        <w:rPr>
          <w:b/>
          <w:bCs/>
        </w:rPr>
      </w:pPr>
      <w:r w:rsidRPr="00242188">
        <w:rPr>
          <w:b/>
          <w:bCs/>
        </w:rPr>
        <w:t>Abstract</w:t>
      </w:r>
    </w:p>
    <w:p w14:paraId="0CD4AAE3" w14:textId="77777777" w:rsidR="00242188" w:rsidRPr="00242188" w:rsidRDefault="00242188" w:rsidP="00242188">
      <w:r w:rsidRPr="00242188">
        <w:t>Rapid advances in artificial intelligence and related technologies are often framed as problems of speed, capability, or control. This paper argues that the more fundamental challenge is one of human orientation. As intelligence becomes abundant and directly accessible through natural language interfaces—often described as Software 3.0—traditional structures for judgment, decision-making, and meaning fail to keep pace. The resulting instability is best understood as </w:t>
      </w:r>
      <w:r w:rsidRPr="00242188">
        <w:rPr>
          <w:b/>
          <w:bCs/>
        </w:rPr>
        <w:t>CCR@VUCA</w:t>
      </w:r>
      <w:r w:rsidRPr="00242188">
        <w:t>: the collision of Culture, Conditions, and Requirements within a volatile, uncertain, complex, and ambiguous environment. Under these conditions, individuals and institutions experience confusion not because intelligence is insufficient, but because orientation is lost. This paper proposes that what is required is not faster adaptation or more information, but the restoration of self and situational awareness. The governing orientation for this restoration is expressed through a single canonical algorhythm: </w:t>
      </w:r>
      <w:r w:rsidRPr="00242188">
        <w:rPr>
          <w:b/>
          <w:bCs/>
        </w:rPr>
        <w:t>SK² + PCGL² + WE = S²A w/ S:DISS-X for SPARC outcomes</w:t>
      </w:r>
      <w:r w:rsidRPr="00242188">
        <w:t>. The paper reframes paradigm shifts as opportunities for re-orientation rather than endurance, and positions selective inquiry—not reflexive action—as the primary human differentiator in an age of accelerating intelligence.</w:t>
      </w:r>
    </w:p>
    <w:p w14:paraId="55AC6E2D" w14:textId="77777777" w:rsidR="00242188" w:rsidRPr="00242188" w:rsidRDefault="0028554E" w:rsidP="00242188">
      <w:r>
        <w:rPr>
          <w:noProof/>
        </w:rPr>
        <w:pict w14:anchorId="3CBA15B9">
          <v:rect id="_x0000_i1029" alt="" style="width:468pt;height:.05pt;mso-width-percent:0;mso-height-percent:0;mso-width-percent:0;mso-height-percent:0" o:hralign="center" o:hrstd="t" o:hr="t" fillcolor="#a0a0a0" stroked="f"/>
        </w:pict>
      </w:r>
    </w:p>
    <w:p w14:paraId="530B9887" w14:textId="77777777" w:rsidR="00242188" w:rsidRPr="00242188" w:rsidRDefault="00242188" w:rsidP="00242188">
      <w:pPr>
        <w:rPr>
          <w:b/>
          <w:bCs/>
        </w:rPr>
      </w:pPr>
      <w:r w:rsidRPr="00242188">
        <w:rPr>
          <w:b/>
          <w:bCs/>
        </w:rPr>
        <w:t>Executive Summary</w:t>
      </w:r>
    </w:p>
    <w:p w14:paraId="7EE74742" w14:textId="77777777" w:rsidR="00242188" w:rsidRPr="00242188" w:rsidRDefault="00242188" w:rsidP="00242188">
      <w:r w:rsidRPr="00242188">
        <w:t>Much of the contemporary discourse surrounding artificial intelligence focuses on performance gains, workforce displacement, and ethical guardrails. While these concerns are legitimate, they obscure a deeper and more consequential issue: the erosion of human orientation. Intelligence is no longer scarce. Judgment is.</w:t>
      </w:r>
    </w:p>
    <w:p w14:paraId="09A5B57A" w14:textId="77777777" w:rsidR="00242188" w:rsidRPr="00242188" w:rsidRDefault="00242188" w:rsidP="00242188">
      <w:r w:rsidRPr="00242188">
        <w:t>We are witnessing the unraveling of an old world model that was built for stability, predictability, and linear progress. Education, work, leadership, and governance were designed for environments where experience accumulated slowly and expertise retained value over time. That assumption no longer holds. Change now arrives compressed, layered, and non-linear.</w:t>
      </w:r>
    </w:p>
    <w:p w14:paraId="352FBE98" w14:textId="77777777" w:rsidR="00242188" w:rsidRPr="00242188" w:rsidRDefault="00242188" w:rsidP="00242188">
      <w:r w:rsidRPr="00242188">
        <w:lastRenderedPageBreak/>
        <w:t>This condition is best described as </w:t>
      </w:r>
      <w:r w:rsidRPr="00242188">
        <w:rPr>
          <w:b/>
          <w:bCs/>
        </w:rPr>
        <w:t>CCR@VUCA</w:t>
      </w:r>
      <w:r w:rsidRPr="00242188">
        <w:t>. Culture, Conditions, and Requirements are no longer aligned. Instead, they collide under accelerating volatility, uncertainty, complexity, and ambiguity. When CCR shifts faster than individuals or institutions can adapt, people default to reaction rather than choice. Decision-making becomes driven by fear, imitation, urgency, or avoidance. Productivity may increase temporarily, but coherence declines.</w:t>
      </w:r>
    </w:p>
    <w:p w14:paraId="03AFACAE" w14:textId="77777777" w:rsidR="00242188" w:rsidRPr="00242188" w:rsidRDefault="00242188" w:rsidP="00242188">
      <w:r w:rsidRPr="00242188">
        <w:t>Software 3.0 intensifies this mismatch. Large language models remove many technical barriers between intention and output. English becomes a functional interface to intelligence. This democratizes access, but it does not equalize capacity. Access to intelligence does not guarantee clarity, discernment, or readiness. Without orientation, abundant intelligence amplifies existing confusion rather than resolving it.</w:t>
      </w:r>
    </w:p>
    <w:p w14:paraId="0580526D" w14:textId="77777777" w:rsidR="00242188" w:rsidRPr="00242188" w:rsidRDefault="00242188" w:rsidP="00242188">
      <w:r w:rsidRPr="00242188">
        <w:t>In response, this paper advances a different framing. Purpose is not something that must be created to survive change; it is already present. What is missing is the capacity to recognize and regulate action in alignment with it. Humans have always navigated disruption through modes of being, doing, having, and becoming. Under CCR@VUCA, these modes intensify and fragment unless they are brought back into awareness.</w:t>
      </w:r>
    </w:p>
    <w:p w14:paraId="26E6D074" w14:textId="77777777" w:rsidR="00242188" w:rsidRPr="00242188" w:rsidRDefault="00242188" w:rsidP="00242188">
      <w:r w:rsidRPr="00242188">
        <w:t>The paper’s governing orientation is captured in a single canonical algorhythm:</w:t>
      </w:r>
    </w:p>
    <w:p w14:paraId="7FD7B619" w14:textId="77777777" w:rsidR="00242188" w:rsidRPr="00242188" w:rsidRDefault="00242188" w:rsidP="00242188">
      <w:r w:rsidRPr="00242188">
        <w:rPr>
          <w:b/>
          <w:bCs/>
        </w:rPr>
        <w:t>SK² + PCGL² + WE = S²A w/ S:DISS-X for SPARC outcomes</w:t>
      </w:r>
    </w:p>
    <w:p w14:paraId="1171D39F" w14:textId="77777777" w:rsidR="00242188" w:rsidRPr="00242188" w:rsidRDefault="00242188" w:rsidP="00242188">
      <w:r w:rsidRPr="00242188">
        <w:t>This expression does not prescribe a process or technique. It names the conditions under which self and situational awareness can emerge in an environment of accelerating intelligence. When self-knowledge is present, when living and leading are purpose-centric and generative, and when wellbeing is sufficient for judgment, awareness becomes possible. From that awareness, selective forms of inquiry—not reflexive action—determine appropriate response.</w:t>
      </w:r>
    </w:p>
    <w:p w14:paraId="56D03C06" w14:textId="77777777" w:rsidR="00242188" w:rsidRPr="00242188" w:rsidRDefault="00242188" w:rsidP="00242188">
      <w:r w:rsidRPr="00242188">
        <w:t>The central claim is straightforward: in an era of abundant intelligence, the primary human advantage is not speed or output, but the ability to pause, re-orient, and act with discernment. Those who regain their bearing first will not be the most informed, but the most aware.</w:t>
      </w:r>
    </w:p>
    <w:p w14:paraId="0D9B940A" w14:textId="77777777" w:rsidR="00242188" w:rsidRPr="00242188" w:rsidRDefault="0028554E" w:rsidP="00242188">
      <w:r>
        <w:rPr>
          <w:noProof/>
        </w:rPr>
        <w:pict w14:anchorId="49E021B1">
          <v:rect id="_x0000_i1028" alt="" style="width:468pt;height:.05pt;mso-width-percent:0;mso-height-percent:0;mso-width-percent:0;mso-height-percent:0" o:hralign="center" o:hrstd="t" o:hr="t" fillcolor="#a0a0a0" stroked="f"/>
        </w:pict>
      </w:r>
    </w:p>
    <w:p w14:paraId="248AFFA7" w14:textId="77777777" w:rsidR="00242188" w:rsidRPr="00242188" w:rsidRDefault="00242188" w:rsidP="00242188">
      <w:pPr>
        <w:rPr>
          <w:b/>
          <w:bCs/>
        </w:rPr>
      </w:pPr>
      <w:r w:rsidRPr="00242188">
        <w:rPr>
          <w:b/>
          <w:bCs/>
        </w:rPr>
        <w:t>Preface</w:t>
      </w:r>
    </w:p>
    <w:p w14:paraId="037E701B" w14:textId="77777777" w:rsidR="00242188" w:rsidRPr="00242188" w:rsidRDefault="00242188" w:rsidP="00242188">
      <w:r w:rsidRPr="00242188">
        <w:t>This paper exists to clarify a confusion that is increasingly misdiagnosed.</w:t>
      </w:r>
    </w:p>
    <w:p w14:paraId="249F6565" w14:textId="77777777" w:rsidR="00242188" w:rsidRPr="00242188" w:rsidRDefault="00242188" w:rsidP="00242188">
      <w:r w:rsidRPr="00242188">
        <w:t xml:space="preserve">It is not a technical document about artificial intelligence, nor a forecast of future jobs, tools, or markets. It does not offer strategies for optimization or survival. Instead, it </w:t>
      </w:r>
      <w:r w:rsidRPr="00242188">
        <w:lastRenderedPageBreak/>
        <w:t>addresses a more basic question: how do people maintain orientation when the conditions that once stabilized judgment no longer apply?</w:t>
      </w:r>
    </w:p>
    <w:p w14:paraId="1201A644" w14:textId="77777777" w:rsidR="00242188" w:rsidRPr="00242188" w:rsidRDefault="00242188" w:rsidP="00242188">
      <w:r w:rsidRPr="00242188">
        <w:t>The arguments that follow are not speculative. They are observational. They are written for readers who sense that something essential is shifting beneath familiar structures of work, identity, and meaning, but lack a coherent frame to name it.</w:t>
      </w:r>
    </w:p>
    <w:p w14:paraId="6454389F" w14:textId="77777777" w:rsidR="00242188" w:rsidRPr="00242188" w:rsidRDefault="00242188" w:rsidP="00242188">
      <w:r w:rsidRPr="00242188">
        <w:t>This paper should be read slowly. Its purpose is not to persuade, but to re-orient. The central concern is not what to do next, but how to regain the awareness required to choose wisely under conditions of accelerating change.</w:t>
      </w:r>
    </w:p>
    <w:p w14:paraId="0E0D1544" w14:textId="77777777" w:rsidR="00242188" w:rsidRPr="00242188" w:rsidRDefault="0028554E" w:rsidP="00242188">
      <w:r>
        <w:rPr>
          <w:noProof/>
        </w:rPr>
        <w:pict w14:anchorId="36794D2E">
          <v:rect id="_x0000_i1027" alt="" style="width:468pt;height:.05pt;mso-width-percent:0;mso-height-percent:0;mso-width-percent:0;mso-height-percent:0" o:hralign="center" o:hrstd="t" o:hr="t" fillcolor="#a0a0a0" stroked="f"/>
        </w:pict>
      </w:r>
    </w:p>
    <w:p w14:paraId="26F57B97" w14:textId="77777777" w:rsidR="00242188" w:rsidRPr="00242188" w:rsidRDefault="00242188" w:rsidP="00242188">
      <w:pPr>
        <w:rPr>
          <w:b/>
          <w:bCs/>
        </w:rPr>
      </w:pPr>
      <w:r w:rsidRPr="00242188">
        <w:rPr>
          <w:b/>
          <w:bCs/>
        </w:rPr>
        <w:t>Main Body</w:t>
      </w:r>
    </w:p>
    <w:p w14:paraId="329317F0" w14:textId="77777777" w:rsidR="00242188" w:rsidRPr="00242188" w:rsidRDefault="00242188" w:rsidP="00242188">
      <w:pPr>
        <w:rPr>
          <w:b/>
          <w:bCs/>
        </w:rPr>
      </w:pPr>
      <w:r w:rsidRPr="00242188">
        <w:rPr>
          <w:b/>
          <w:bCs/>
        </w:rPr>
        <w:t>The Unraveling of the Old World Model</w:t>
      </w:r>
    </w:p>
    <w:p w14:paraId="500A21FC" w14:textId="77777777" w:rsidR="00242188" w:rsidRPr="00242188" w:rsidRDefault="00242188" w:rsidP="00242188">
      <w:r w:rsidRPr="00242188">
        <w:t>Stable systems fail quietly before they fail visibly. Long before institutions collapse, the assumptions that once governed them stop working. Expertise loses transferability. Effort yields diminishing returns. Familiar paths no longer lead where expected.</w:t>
      </w:r>
    </w:p>
    <w:p w14:paraId="2FC6AB8C" w14:textId="77777777" w:rsidR="00242188" w:rsidRPr="00242188" w:rsidRDefault="00242188" w:rsidP="00242188">
      <w:r w:rsidRPr="00242188">
        <w:t>The old world model depended on continuity. Skills accumulated. Roles stabilized. Planning horizons extended predictably. Under such conditions, problems could be solved by applying known solutions. That environment has dissolved.</w:t>
      </w:r>
    </w:p>
    <w:p w14:paraId="73AFDC05" w14:textId="77777777" w:rsidR="00242188" w:rsidRPr="00242188" w:rsidRDefault="00242188" w:rsidP="00242188">
      <w:pPr>
        <w:rPr>
          <w:b/>
          <w:bCs/>
        </w:rPr>
      </w:pPr>
      <w:r w:rsidRPr="00242188">
        <w:rPr>
          <w:b/>
          <w:bCs/>
        </w:rPr>
        <w:t>Software 3.0 and the Illusion of Equalization</w:t>
      </w:r>
    </w:p>
    <w:p w14:paraId="3C989491" w14:textId="77777777" w:rsidR="00242188" w:rsidRPr="00242188" w:rsidRDefault="00242188" w:rsidP="00242188">
      <w:r w:rsidRPr="00242188">
        <w:t>Software 3.0 removes friction between intention and output. Large language models respond directly to human language, bypassing traditional intermediaries. This creates the appearance of equalization: everyone now has access to intelligence.</w:t>
      </w:r>
    </w:p>
    <w:p w14:paraId="4488561E" w14:textId="77777777" w:rsidR="00242188" w:rsidRPr="00242188" w:rsidRDefault="00242188" w:rsidP="00242188">
      <w:r w:rsidRPr="00242188">
        <w:t>What is obscured is that intelligence alone does not confer judgment. Without orientation, speed amplifies error. The absence of friction removes natural pauses that once supported reflection and discernment.</w:t>
      </w:r>
    </w:p>
    <w:p w14:paraId="3D5C95C4" w14:textId="77777777" w:rsidR="00242188" w:rsidRPr="00242188" w:rsidRDefault="00242188" w:rsidP="00242188">
      <w:pPr>
        <w:rPr>
          <w:b/>
          <w:bCs/>
        </w:rPr>
      </w:pPr>
      <w:r w:rsidRPr="00242188">
        <w:rPr>
          <w:b/>
          <w:bCs/>
        </w:rPr>
        <w:t>CCR@VUCA as the Lived Environment</w:t>
      </w:r>
    </w:p>
    <w:p w14:paraId="23EA4404" w14:textId="77777777" w:rsidR="00242188" w:rsidRPr="00242188" w:rsidRDefault="00242188" w:rsidP="00242188">
      <w:r w:rsidRPr="00242188">
        <w:t>CCR@VUCA names the lived condition of the present moment. Culture no longer reinforces shared meaning. Conditions shift faster than adaptation cycles allow. Requirements escalate beyond historical norms. Under these pressures, volatility, uncertainty, complexity, and ambiguity are not external threats; they are internalized.</w:t>
      </w:r>
    </w:p>
    <w:p w14:paraId="6D400FB0" w14:textId="77777777" w:rsidR="00242188" w:rsidRPr="00242188" w:rsidRDefault="00242188" w:rsidP="00242188">
      <w:r w:rsidRPr="00242188">
        <w:t>When CCR destabilizes, people lose their bearings. Decisions become reactive. Attention fragments. Purpose is obscured, not lost.</w:t>
      </w:r>
    </w:p>
    <w:p w14:paraId="4DA6C2A8" w14:textId="77777777" w:rsidR="00242188" w:rsidRPr="00242188" w:rsidRDefault="00242188" w:rsidP="00242188">
      <w:pPr>
        <w:rPr>
          <w:b/>
          <w:bCs/>
        </w:rPr>
      </w:pPr>
      <w:r w:rsidRPr="00242188">
        <w:rPr>
          <w:b/>
          <w:bCs/>
        </w:rPr>
        <w:lastRenderedPageBreak/>
        <w:t>Social Motivation Under Accelerating Conditions</w:t>
      </w:r>
    </w:p>
    <w:p w14:paraId="11867A48" w14:textId="77777777" w:rsidR="00242188" w:rsidRPr="00242188" w:rsidRDefault="00242188" w:rsidP="00242188">
      <w:r w:rsidRPr="00242188">
        <w:t>Under pressure, humans gravitate toward dominant modes of engagement:</w:t>
      </w:r>
    </w:p>
    <w:p w14:paraId="6F0DC810" w14:textId="77777777" w:rsidR="00242188" w:rsidRPr="00242188" w:rsidRDefault="00242188" w:rsidP="00242188">
      <w:pPr>
        <w:numPr>
          <w:ilvl w:val="0"/>
          <w:numId w:val="1"/>
        </w:numPr>
      </w:pPr>
      <w:r w:rsidRPr="00242188">
        <w:rPr>
          <w:b/>
          <w:bCs/>
        </w:rPr>
        <w:t>Affiliation</w:t>
      </w:r>
      <w:r w:rsidRPr="00242188">
        <w:t> seeks safety through belonging.</w:t>
      </w:r>
    </w:p>
    <w:p w14:paraId="7EC0F895" w14:textId="77777777" w:rsidR="00242188" w:rsidRPr="00242188" w:rsidRDefault="00242188" w:rsidP="00242188">
      <w:pPr>
        <w:numPr>
          <w:ilvl w:val="0"/>
          <w:numId w:val="1"/>
        </w:numPr>
      </w:pPr>
      <w:r w:rsidRPr="00242188">
        <w:rPr>
          <w:b/>
          <w:bCs/>
        </w:rPr>
        <w:t>Power</w:t>
      </w:r>
      <w:r w:rsidRPr="00242188">
        <w:t> attempts control through action.</w:t>
      </w:r>
    </w:p>
    <w:p w14:paraId="4C0D6630" w14:textId="77777777" w:rsidR="00242188" w:rsidRPr="00242188" w:rsidRDefault="00242188" w:rsidP="00242188">
      <w:pPr>
        <w:numPr>
          <w:ilvl w:val="0"/>
          <w:numId w:val="1"/>
        </w:numPr>
      </w:pPr>
      <w:r w:rsidRPr="00242188">
        <w:rPr>
          <w:b/>
          <w:bCs/>
        </w:rPr>
        <w:t>Achievement</w:t>
      </w:r>
      <w:r w:rsidRPr="00242188">
        <w:t> accelerates effort to preserve outcomes.</w:t>
      </w:r>
    </w:p>
    <w:p w14:paraId="3916153B" w14:textId="77777777" w:rsidR="00242188" w:rsidRPr="00242188" w:rsidRDefault="00242188" w:rsidP="00242188">
      <w:pPr>
        <w:numPr>
          <w:ilvl w:val="0"/>
          <w:numId w:val="1"/>
        </w:numPr>
      </w:pPr>
      <w:r w:rsidRPr="00242188">
        <w:rPr>
          <w:b/>
          <w:bCs/>
        </w:rPr>
        <w:t>Avoidance</w:t>
      </w:r>
      <w:r w:rsidRPr="00242188">
        <w:t> delays commitment in search of certainty.</w:t>
      </w:r>
    </w:p>
    <w:p w14:paraId="1F395173" w14:textId="77777777" w:rsidR="00242188" w:rsidRPr="00242188" w:rsidRDefault="00242188" w:rsidP="00242188">
      <w:r w:rsidRPr="00242188">
        <w:t>These are not personality traits. They are adaptive responses that intensify under CCR@VUCA. Each corresponds to a human capacity—being, doing, having, becoming—that can become over-leveraged when awareness is absent.</w:t>
      </w:r>
    </w:p>
    <w:p w14:paraId="74F67A85" w14:textId="77777777" w:rsidR="00242188" w:rsidRPr="00242188" w:rsidRDefault="00242188" w:rsidP="00242188">
      <w:pPr>
        <w:rPr>
          <w:b/>
          <w:bCs/>
        </w:rPr>
      </w:pPr>
      <w:r w:rsidRPr="00242188">
        <w:rPr>
          <w:b/>
          <w:bCs/>
        </w:rPr>
        <w:t>Why Traversing the Full Paradigm Cycle Is Optional</w:t>
      </w:r>
    </w:p>
    <w:p w14:paraId="2EC7470A" w14:textId="77777777" w:rsidR="00242188" w:rsidRPr="00242188" w:rsidRDefault="00242188" w:rsidP="00242188">
      <w:r w:rsidRPr="00242188">
        <w:t>Prevailing narratives suggest that individuals must endure destabilization and disorientation before re-orientation becomes possible. This assumption is costly and false. Awareness can interrupt the cycle at any point.</w:t>
      </w:r>
    </w:p>
    <w:p w14:paraId="2DFD14E3" w14:textId="77777777" w:rsidR="00242188" w:rsidRPr="00242188" w:rsidRDefault="00242188" w:rsidP="00242188">
      <w:r w:rsidRPr="00242188">
        <w:t>Re-orientation does not require collapse. It requires restraint.</w:t>
      </w:r>
    </w:p>
    <w:p w14:paraId="61172287" w14:textId="77777777" w:rsidR="00242188" w:rsidRPr="00242188" w:rsidRDefault="00242188" w:rsidP="00242188">
      <w:pPr>
        <w:rPr>
          <w:b/>
          <w:bCs/>
        </w:rPr>
      </w:pPr>
      <w:r w:rsidRPr="00242188">
        <w:rPr>
          <w:b/>
          <w:bCs/>
        </w:rPr>
        <w:t>Purpose as Orientation, Not Construction</w:t>
      </w:r>
    </w:p>
    <w:p w14:paraId="4F947B9F" w14:textId="77777777" w:rsidR="00242188" w:rsidRPr="00242188" w:rsidRDefault="00242188" w:rsidP="00242188">
      <w:r w:rsidRPr="00242188">
        <w:t>Purpose does not need to be invented to meet new conditions. It precedes them. What changes is the ability to recognize and act in alignment with it. When awareness returns, purpose becomes a stabilizing reference rather than an aspirational ideal.</w:t>
      </w:r>
    </w:p>
    <w:p w14:paraId="0E574FCB" w14:textId="77777777" w:rsidR="00242188" w:rsidRPr="00242188" w:rsidRDefault="00242188" w:rsidP="00242188">
      <w:pPr>
        <w:rPr>
          <w:b/>
          <w:bCs/>
        </w:rPr>
      </w:pPr>
      <w:r w:rsidRPr="00242188">
        <w:rPr>
          <w:b/>
          <w:bCs/>
        </w:rPr>
        <w:t>The Role of Selective Inquiry (S:DISS-X)</w:t>
      </w:r>
    </w:p>
    <w:p w14:paraId="469CC7BB" w14:textId="77777777" w:rsidR="00242188" w:rsidRPr="00242188" w:rsidRDefault="00242188" w:rsidP="00242188">
      <w:r w:rsidRPr="00242188">
        <w:t>Under CCR@VUCA, action without inquiry is reckless. Inquiry without selectivity is paralyzing. The function of S:DISS-X is not to generate answers, but to preserve alignment between awareness and action. Selective inquiry restores proportional response.</w:t>
      </w:r>
    </w:p>
    <w:p w14:paraId="07A7387D" w14:textId="77777777" w:rsidR="00242188" w:rsidRPr="00242188" w:rsidRDefault="0028554E" w:rsidP="00242188">
      <w:r>
        <w:rPr>
          <w:noProof/>
        </w:rPr>
        <w:pict w14:anchorId="6692BB4B">
          <v:rect id="_x0000_i1026" alt="" style="width:468pt;height:.05pt;mso-width-percent:0;mso-height-percent:0;mso-width-percent:0;mso-height-percent:0" o:hralign="center" o:hrstd="t" o:hr="t" fillcolor="#a0a0a0" stroked="f"/>
        </w:pict>
      </w:r>
    </w:p>
    <w:p w14:paraId="352EC7F0" w14:textId="77777777" w:rsidR="00242188" w:rsidRPr="00242188" w:rsidRDefault="00242188" w:rsidP="00242188">
      <w:pPr>
        <w:rPr>
          <w:b/>
          <w:bCs/>
        </w:rPr>
      </w:pPr>
      <w:r w:rsidRPr="00242188">
        <w:rPr>
          <w:b/>
          <w:bCs/>
        </w:rPr>
        <w:t>Conclusion / Summary</w:t>
      </w:r>
    </w:p>
    <w:p w14:paraId="5EB90253" w14:textId="77777777" w:rsidR="00242188" w:rsidRPr="00242188" w:rsidRDefault="00242188" w:rsidP="00242188">
      <w:r w:rsidRPr="00242188">
        <w:t>The defining challenge of this era is not technological acceleration. It is the loss of human orientation under conditions of abundant intelligence.</w:t>
      </w:r>
    </w:p>
    <w:p w14:paraId="7A9B1692" w14:textId="77777777" w:rsidR="00242188" w:rsidRPr="00242188" w:rsidRDefault="00242188" w:rsidP="00242188">
      <w:r w:rsidRPr="00242188">
        <w:t>When intelligence becomes cheap, awareness becomes precious. When output accelerates, judgment must slow. The ability to pause, notice, and choose deliberately becomes the primary differentiator between amplification and erosion.</w:t>
      </w:r>
    </w:p>
    <w:p w14:paraId="2ABDD8E0" w14:textId="77777777" w:rsidR="00242188" w:rsidRPr="00242188" w:rsidRDefault="00242188" w:rsidP="00242188">
      <w:r w:rsidRPr="00242188">
        <w:lastRenderedPageBreak/>
        <w:t>The algorhythm governing this paper captures that orientation succinctly:</w:t>
      </w:r>
    </w:p>
    <w:p w14:paraId="5035CA56" w14:textId="77777777" w:rsidR="00242188" w:rsidRPr="00242188" w:rsidRDefault="00242188" w:rsidP="00242188">
      <w:r w:rsidRPr="00242188">
        <w:rPr>
          <w:b/>
          <w:bCs/>
        </w:rPr>
        <w:t>SK² + PCGL² + WE = S²A w/ S:DISS-X for SPARC outcomes</w:t>
      </w:r>
    </w:p>
    <w:p w14:paraId="3AA03197" w14:textId="77777777" w:rsidR="00242188" w:rsidRPr="00242188" w:rsidRDefault="00242188" w:rsidP="00242188">
      <w:r w:rsidRPr="00242188">
        <w:t>This is not a prescription. It is a description of alignment. Those who cultivate awareness first will not merely adapt to the new world model—they will help shape it.</w:t>
      </w:r>
    </w:p>
    <w:p w14:paraId="2E9B3A5C" w14:textId="77777777" w:rsidR="00242188" w:rsidRPr="00242188" w:rsidRDefault="0028554E" w:rsidP="00242188">
      <w:r>
        <w:rPr>
          <w:noProof/>
        </w:rPr>
        <w:pict w14:anchorId="2628276E">
          <v:rect id="_x0000_i1025" alt="" style="width:468pt;height:.05pt;mso-width-percent:0;mso-height-percent:0;mso-width-percent:0;mso-height-percent:0" o:hralign="center" o:hrstd="t" o:hr="t" fillcolor="#a0a0a0" stroked="f"/>
        </w:pict>
      </w:r>
    </w:p>
    <w:p w14:paraId="29C663E4" w14:textId="77777777" w:rsidR="00242188" w:rsidRDefault="00242188">
      <w:pPr>
        <w:rPr>
          <w:rFonts w:ascii="Times New Roman" w:eastAsia="Times New Roman" w:hAnsi="Times New Roman" w:cs="Times New Roman"/>
          <w:b/>
          <w:bCs/>
          <w:color w:val="000000"/>
          <w:kern w:val="0"/>
          <w:sz w:val="36"/>
          <w:szCs w:val="36"/>
          <w14:ligatures w14:val="none"/>
        </w:rPr>
      </w:pPr>
      <w:r>
        <w:rPr>
          <w:rFonts w:ascii="Times New Roman" w:eastAsia="Times New Roman" w:hAnsi="Times New Roman" w:cs="Times New Roman"/>
          <w:b/>
          <w:bCs/>
          <w:color w:val="000000"/>
          <w:kern w:val="0"/>
          <w:sz w:val="36"/>
          <w:szCs w:val="36"/>
          <w14:ligatures w14:val="none"/>
        </w:rPr>
        <w:br w:type="page"/>
      </w:r>
    </w:p>
    <w:p w14:paraId="5EF34684" w14:textId="1ABEEE3D" w:rsidR="00242188" w:rsidRPr="00242188" w:rsidRDefault="00242188" w:rsidP="00242188">
      <w:pPr>
        <w:spacing w:before="100" w:beforeAutospacing="1" w:after="100" w:afterAutospacing="1" w:line="240" w:lineRule="auto"/>
        <w:outlineLvl w:val="1"/>
        <w:rPr>
          <w:rFonts w:ascii="Times New Roman" w:eastAsia="Times New Roman" w:hAnsi="Times New Roman" w:cs="Times New Roman"/>
          <w:b/>
          <w:bCs/>
          <w:color w:val="000000"/>
          <w:kern w:val="0"/>
          <w:sz w:val="36"/>
          <w:szCs w:val="36"/>
          <w14:ligatures w14:val="none"/>
        </w:rPr>
      </w:pPr>
      <w:r w:rsidRPr="00242188">
        <w:rPr>
          <w:rFonts w:ascii="Times New Roman" w:eastAsia="Times New Roman" w:hAnsi="Times New Roman" w:cs="Times New Roman"/>
          <w:b/>
          <w:bCs/>
          <w:color w:val="000000"/>
          <w:kern w:val="0"/>
          <w:sz w:val="36"/>
          <w:szCs w:val="36"/>
          <w14:ligatures w14:val="none"/>
        </w:rPr>
        <w:lastRenderedPageBreak/>
        <w:t>Appendix A: The LeadU PRIME Algorhythm (Reference)</w:t>
      </w:r>
    </w:p>
    <w:p w14:paraId="35E525BF" w14:textId="77777777" w:rsidR="00242188" w:rsidRPr="00242188" w:rsidRDefault="00242188" w:rsidP="00242188">
      <w:pPr>
        <w:spacing w:before="100" w:beforeAutospacing="1" w:after="100" w:afterAutospacing="1" w:line="240" w:lineRule="auto"/>
        <w:rPr>
          <w:rFonts w:ascii="Times New Roman" w:eastAsia="Times New Roman" w:hAnsi="Times New Roman" w:cs="Times New Roman"/>
          <w:color w:val="000000"/>
          <w:kern w:val="0"/>
          <w14:ligatures w14:val="none"/>
        </w:rPr>
      </w:pPr>
      <w:r w:rsidRPr="00242188">
        <w:rPr>
          <w:rFonts w:ascii="Times New Roman" w:eastAsia="Times New Roman" w:hAnsi="Times New Roman" w:cs="Times New Roman"/>
          <w:color w:val="000000"/>
          <w:kern w:val="0"/>
          <w14:ligatures w14:val="none"/>
        </w:rPr>
        <w:t>This appendix provides a brief reference for the governing orientation used throughout this paper. It is included for clarity, not instruction. The main argument does not depend on familiarity with these constructs.</w:t>
      </w:r>
    </w:p>
    <w:p w14:paraId="32E5EA87" w14:textId="77777777" w:rsidR="00242188" w:rsidRPr="00242188" w:rsidRDefault="00242188" w:rsidP="00242188">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14:ligatures w14:val="none"/>
        </w:rPr>
      </w:pPr>
      <w:r w:rsidRPr="00242188">
        <w:rPr>
          <w:rFonts w:ascii="Times New Roman" w:eastAsia="Times New Roman" w:hAnsi="Times New Roman" w:cs="Times New Roman"/>
          <w:b/>
          <w:bCs/>
          <w:color w:val="000000"/>
          <w:kern w:val="0"/>
          <w:sz w:val="27"/>
          <w:szCs w:val="27"/>
          <w14:ligatures w14:val="none"/>
        </w:rPr>
        <w:t>The PRIME Algorhythm (Canonical)</w:t>
      </w:r>
    </w:p>
    <w:p w14:paraId="3963043A" w14:textId="77777777" w:rsidR="00242188" w:rsidRPr="00242188" w:rsidRDefault="00242188" w:rsidP="00242188">
      <w:pPr>
        <w:spacing w:before="100" w:beforeAutospacing="1" w:after="100" w:afterAutospacing="1" w:line="240" w:lineRule="auto"/>
        <w:rPr>
          <w:rFonts w:ascii="Times New Roman" w:eastAsia="Times New Roman" w:hAnsi="Times New Roman" w:cs="Times New Roman"/>
          <w:color w:val="000000"/>
          <w:kern w:val="0"/>
          <w14:ligatures w14:val="none"/>
        </w:rPr>
      </w:pPr>
      <w:r w:rsidRPr="00242188">
        <w:rPr>
          <w:rFonts w:ascii="Times New Roman" w:eastAsia="Times New Roman" w:hAnsi="Times New Roman" w:cs="Times New Roman"/>
          <w:b/>
          <w:bCs/>
          <w:color w:val="000000"/>
          <w:kern w:val="0"/>
          <w14:ligatures w14:val="none"/>
        </w:rPr>
        <w:t>SK² + PCGL² + WE = S²A w/ S:DISS-X for SPARC outcomes</w:t>
      </w:r>
    </w:p>
    <w:p w14:paraId="26A5EDFA" w14:textId="77777777" w:rsidR="00242188" w:rsidRPr="00242188" w:rsidRDefault="00242188" w:rsidP="00242188">
      <w:pPr>
        <w:spacing w:before="100" w:beforeAutospacing="1" w:after="100" w:afterAutospacing="1" w:line="240" w:lineRule="auto"/>
        <w:rPr>
          <w:rFonts w:ascii="Times New Roman" w:eastAsia="Times New Roman" w:hAnsi="Times New Roman" w:cs="Times New Roman"/>
          <w:color w:val="000000"/>
          <w:kern w:val="0"/>
          <w14:ligatures w14:val="none"/>
        </w:rPr>
      </w:pPr>
      <w:r w:rsidRPr="00242188">
        <w:rPr>
          <w:rFonts w:ascii="Times New Roman" w:eastAsia="Times New Roman" w:hAnsi="Times New Roman" w:cs="Times New Roman"/>
          <w:color w:val="000000"/>
          <w:kern w:val="0"/>
          <w14:ligatures w14:val="none"/>
        </w:rPr>
        <w:t>This expression names the conditions under which self and situational awareness can emerge in environments of accelerating intelligence.</w:t>
      </w:r>
    </w:p>
    <w:p w14:paraId="46A75F8B" w14:textId="77777777" w:rsidR="00242188" w:rsidRPr="00242188" w:rsidRDefault="00242188" w:rsidP="00242188">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14:ligatures w14:val="none"/>
        </w:rPr>
      </w:pPr>
      <w:r w:rsidRPr="00242188">
        <w:rPr>
          <w:rFonts w:ascii="Times New Roman" w:eastAsia="Times New Roman" w:hAnsi="Times New Roman" w:cs="Times New Roman"/>
          <w:b/>
          <w:bCs/>
          <w:color w:val="000000"/>
          <w:kern w:val="0"/>
          <w:sz w:val="27"/>
          <w:szCs w:val="27"/>
          <w14:ligatures w14:val="none"/>
        </w:rPr>
        <w:t>Component Clarifications</w:t>
      </w:r>
    </w:p>
    <w:p w14:paraId="1E093B87" w14:textId="77777777" w:rsidR="00242188" w:rsidRPr="00242188" w:rsidRDefault="00242188" w:rsidP="00242188">
      <w:pPr>
        <w:spacing w:before="100" w:beforeAutospacing="1" w:after="100" w:afterAutospacing="1" w:line="240" w:lineRule="auto"/>
        <w:rPr>
          <w:rFonts w:ascii="Times New Roman" w:eastAsia="Times New Roman" w:hAnsi="Times New Roman" w:cs="Times New Roman"/>
          <w:color w:val="000000"/>
          <w:kern w:val="0"/>
          <w14:ligatures w14:val="none"/>
        </w:rPr>
      </w:pPr>
      <w:r w:rsidRPr="00242188">
        <w:rPr>
          <w:rFonts w:ascii="Times New Roman" w:eastAsia="Times New Roman" w:hAnsi="Times New Roman" w:cs="Times New Roman"/>
          <w:b/>
          <w:bCs/>
          <w:color w:val="000000"/>
          <w:kern w:val="0"/>
          <w14:ligatures w14:val="none"/>
        </w:rPr>
        <w:t>SK² (Self-Knowledge)</w:t>
      </w:r>
      <w:r w:rsidRPr="00242188">
        <w:rPr>
          <w:rFonts w:ascii="Times New Roman" w:eastAsia="Times New Roman" w:hAnsi="Times New Roman" w:cs="Times New Roman"/>
          <w:color w:val="000000"/>
          <w:kern w:val="0"/>
          <w14:ligatures w14:val="none"/>
        </w:rPr>
        <w:br/>
        <w:t>Self-knowledge expressed as both </w:t>
      </w:r>
      <w:r w:rsidRPr="00242188">
        <w:rPr>
          <w:rFonts w:ascii="Times New Roman" w:eastAsia="Times New Roman" w:hAnsi="Times New Roman" w:cs="Times New Roman"/>
          <w:i/>
          <w:iCs/>
          <w:color w:val="000000"/>
          <w:kern w:val="0"/>
          <w14:ligatures w14:val="none"/>
        </w:rPr>
        <w:t>mapping</w:t>
      </w:r>
      <w:r w:rsidRPr="00242188">
        <w:rPr>
          <w:rFonts w:ascii="Times New Roman" w:eastAsia="Times New Roman" w:hAnsi="Times New Roman" w:cs="Times New Roman"/>
          <w:color w:val="000000"/>
          <w:kern w:val="0"/>
          <w14:ligatures w14:val="none"/>
        </w:rPr>
        <w:t>—what is present, known, and influencing action—and </w:t>
      </w:r>
      <w:r w:rsidRPr="00242188">
        <w:rPr>
          <w:rFonts w:ascii="Times New Roman" w:eastAsia="Times New Roman" w:hAnsi="Times New Roman" w:cs="Times New Roman"/>
          <w:i/>
          <w:iCs/>
          <w:color w:val="000000"/>
          <w:kern w:val="0"/>
          <w14:ligatures w14:val="none"/>
        </w:rPr>
        <w:t>navigation</w:t>
      </w:r>
      <w:r w:rsidRPr="00242188">
        <w:rPr>
          <w:rFonts w:ascii="Times New Roman" w:eastAsia="Times New Roman" w:hAnsi="Times New Roman" w:cs="Times New Roman"/>
          <w:color w:val="000000"/>
          <w:kern w:val="0"/>
          <w14:ligatures w14:val="none"/>
        </w:rPr>
        <w:t>—how awareness is used to move deliberately rather than reactively.</w:t>
      </w:r>
    </w:p>
    <w:p w14:paraId="633D7053" w14:textId="77777777" w:rsidR="00242188" w:rsidRPr="00242188" w:rsidRDefault="00242188" w:rsidP="00242188">
      <w:pPr>
        <w:spacing w:before="100" w:beforeAutospacing="1" w:after="100" w:afterAutospacing="1" w:line="240" w:lineRule="auto"/>
        <w:rPr>
          <w:rFonts w:ascii="Times New Roman" w:eastAsia="Times New Roman" w:hAnsi="Times New Roman" w:cs="Times New Roman"/>
          <w:color w:val="000000"/>
          <w:kern w:val="0"/>
          <w14:ligatures w14:val="none"/>
        </w:rPr>
      </w:pPr>
      <w:r w:rsidRPr="00242188">
        <w:rPr>
          <w:rFonts w:ascii="Times New Roman" w:eastAsia="Times New Roman" w:hAnsi="Times New Roman" w:cs="Times New Roman"/>
          <w:b/>
          <w:bCs/>
          <w:color w:val="000000"/>
          <w:kern w:val="0"/>
          <w14:ligatures w14:val="none"/>
        </w:rPr>
        <w:t>PCGL² (Purpose-Centric Generative Living × Leadership)</w:t>
      </w:r>
      <w:r w:rsidRPr="00242188">
        <w:rPr>
          <w:rFonts w:ascii="Times New Roman" w:eastAsia="Times New Roman" w:hAnsi="Times New Roman" w:cs="Times New Roman"/>
          <w:color w:val="000000"/>
          <w:kern w:val="0"/>
          <w14:ligatures w14:val="none"/>
        </w:rPr>
        <w:br/>
        <w:t>Living and leading oriented around purpose as discovered, disclosed, and accepted, rather than assigned or imposed. Generativity emphasizes contribution without depletion.</w:t>
      </w:r>
    </w:p>
    <w:p w14:paraId="470B0887" w14:textId="77777777" w:rsidR="00242188" w:rsidRPr="00242188" w:rsidRDefault="00242188" w:rsidP="00242188">
      <w:pPr>
        <w:spacing w:before="100" w:beforeAutospacing="1" w:after="100" w:afterAutospacing="1" w:line="240" w:lineRule="auto"/>
        <w:rPr>
          <w:rFonts w:ascii="Times New Roman" w:eastAsia="Times New Roman" w:hAnsi="Times New Roman" w:cs="Times New Roman"/>
          <w:color w:val="000000"/>
          <w:kern w:val="0"/>
          <w14:ligatures w14:val="none"/>
        </w:rPr>
      </w:pPr>
      <w:r w:rsidRPr="00242188">
        <w:rPr>
          <w:rFonts w:ascii="Times New Roman" w:eastAsia="Times New Roman" w:hAnsi="Times New Roman" w:cs="Times New Roman"/>
          <w:b/>
          <w:bCs/>
          <w:color w:val="000000"/>
          <w:kern w:val="0"/>
          <w14:ligatures w14:val="none"/>
        </w:rPr>
        <w:t>WE (Wellbeing Enough)</w:t>
      </w:r>
      <w:r w:rsidRPr="00242188">
        <w:rPr>
          <w:rFonts w:ascii="Times New Roman" w:eastAsia="Times New Roman" w:hAnsi="Times New Roman" w:cs="Times New Roman"/>
          <w:color w:val="000000"/>
          <w:kern w:val="0"/>
          <w14:ligatures w14:val="none"/>
        </w:rPr>
        <w:br/>
        <w:t>A sufficient level of wellbeing to support judgment, restraint, and perspective. “Enough” signals adequacy for discernment, not optimization or performance maximization.</w:t>
      </w:r>
    </w:p>
    <w:p w14:paraId="0D52FDDC" w14:textId="77777777" w:rsidR="00242188" w:rsidRPr="00242188" w:rsidRDefault="00242188" w:rsidP="00242188">
      <w:pPr>
        <w:spacing w:before="100" w:beforeAutospacing="1" w:after="100" w:afterAutospacing="1" w:line="240" w:lineRule="auto"/>
        <w:rPr>
          <w:rFonts w:ascii="Times New Roman" w:eastAsia="Times New Roman" w:hAnsi="Times New Roman" w:cs="Times New Roman"/>
          <w:color w:val="000000"/>
          <w:kern w:val="0"/>
          <w14:ligatures w14:val="none"/>
        </w:rPr>
      </w:pPr>
      <w:r w:rsidRPr="00242188">
        <w:rPr>
          <w:rFonts w:ascii="Times New Roman" w:eastAsia="Times New Roman" w:hAnsi="Times New Roman" w:cs="Times New Roman"/>
          <w:b/>
          <w:bCs/>
          <w:color w:val="000000"/>
          <w:kern w:val="0"/>
          <w14:ligatures w14:val="none"/>
        </w:rPr>
        <w:t>S²A (Self × Situational Awareness)</w:t>
      </w:r>
      <w:r w:rsidRPr="00242188">
        <w:rPr>
          <w:rFonts w:ascii="Times New Roman" w:eastAsia="Times New Roman" w:hAnsi="Times New Roman" w:cs="Times New Roman"/>
          <w:color w:val="000000"/>
          <w:kern w:val="0"/>
          <w14:ligatures w14:val="none"/>
        </w:rPr>
        <w:br/>
        <w:t>Awareness of self in context as the governing condition for meaningful choice. This includes recognizing internal states alongside external conditions before acting.</w:t>
      </w:r>
    </w:p>
    <w:p w14:paraId="43E19A18" w14:textId="77777777" w:rsidR="00242188" w:rsidRPr="00242188" w:rsidRDefault="00242188" w:rsidP="00242188">
      <w:pPr>
        <w:spacing w:before="100" w:beforeAutospacing="1" w:after="100" w:afterAutospacing="1" w:line="240" w:lineRule="auto"/>
        <w:rPr>
          <w:rFonts w:ascii="Times New Roman" w:eastAsia="Times New Roman" w:hAnsi="Times New Roman" w:cs="Times New Roman"/>
          <w:color w:val="000000"/>
          <w:kern w:val="0"/>
          <w14:ligatures w14:val="none"/>
        </w:rPr>
      </w:pPr>
      <w:r w:rsidRPr="00242188">
        <w:rPr>
          <w:rFonts w:ascii="Times New Roman" w:eastAsia="Times New Roman" w:hAnsi="Times New Roman" w:cs="Times New Roman"/>
          <w:b/>
          <w:bCs/>
          <w:color w:val="000000"/>
          <w:kern w:val="0"/>
          <w14:ligatures w14:val="none"/>
        </w:rPr>
        <w:t>S:DISS-X (Selective Dynamic Inquiry System – Experience)</w:t>
      </w:r>
      <w:r w:rsidRPr="00242188">
        <w:rPr>
          <w:rFonts w:ascii="Times New Roman" w:eastAsia="Times New Roman" w:hAnsi="Times New Roman" w:cs="Times New Roman"/>
          <w:color w:val="000000"/>
          <w:kern w:val="0"/>
          <w14:ligatures w14:val="none"/>
        </w:rPr>
        <w:br/>
        <w:t>A selective use of inquiry forms designed to preserve alignment between awareness and action. Selectivity, rather than volume of inquiry, is the distinguishing feature.</w:t>
      </w:r>
    </w:p>
    <w:p w14:paraId="40E154E6" w14:textId="77777777" w:rsidR="00242188" w:rsidRPr="00242188" w:rsidRDefault="00242188" w:rsidP="00242188">
      <w:pPr>
        <w:spacing w:before="100" w:beforeAutospacing="1" w:after="100" w:afterAutospacing="1" w:line="240" w:lineRule="auto"/>
        <w:rPr>
          <w:rFonts w:ascii="Times New Roman" w:eastAsia="Times New Roman" w:hAnsi="Times New Roman" w:cs="Times New Roman"/>
          <w:color w:val="000000"/>
          <w:kern w:val="0"/>
          <w14:ligatures w14:val="none"/>
        </w:rPr>
      </w:pPr>
      <w:r w:rsidRPr="00242188">
        <w:rPr>
          <w:rFonts w:ascii="Times New Roman" w:eastAsia="Times New Roman" w:hAnsi="Times New Roman" w:cs="Times New Roman"/>
          <w:b/>
          <w:bCs/>
          <w:color w:val="000000"/>
          <w:kern w:val="0"/>
          <w14:ligatures w14:val="none"/>
        </w:rPr>
        <w:t>SPARC Outcomes</w:t>
      </w:r>
      <w:r w:rsidRPr="00242188">
        <w:rPr>
          <w:rFonts w:ascii="Times New Roman" w:eastAsia="Times New Roman" w:hAnsi="Times New Roman" w:cs="Times New Roman"/>
          <w:color w:val="000000"/>
          <w:kern w:val="0"/>
          <w14:ligatures w14:val="none"/>
        </w:rPr>
        <w:br/>
        <w:t>Satisfaction, Purpose, Awareness, Results, and Competent Confidence as emergent outcomes of aligned awareness and action.</w:t>
      </w:r>
    </w:p>
    <w:p w14:paraId="1F82CEA7" w14:textId="77777777" w:rsidR="00242188" w:rsidRPr="00242188" w:rsidRDefault="00242188" w:rsidP="00242188">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14:ligatures w14:val="none"/>
        </w:rPr>
      </w:pPr>
      <w:r w:rsidRPr="00242188">
        <w:rPr>
          <w:rFonts w:ascii="Times New Roman" w:eastAsia="Times New Roman" w:hAnsi="Times New Roman" w:cs="Times New Roman"/>
          <w:b/>
          <w:bCs/>
          <w:color w:val="000000"/>
          <w:kern w:val="0"/>
          <w:sz w:val="27"/>
          <w:szCs w:val="27"/>
          <w14:ligatures w14:val="none"/>
        </w:rPr>
        <w:t>Relationship to This Paper</w:t>
      </w:r>
    </w:p>
    <w:p w14:paraId="783EA100" w14:textId="77777777" w:rsidR="00242188" w:rsidRPr="00242188" w:rsidRDefault="00242188" w:rsidP="00242188">
      <w:pPr>
        <w:spacing w:before="100" w:beforeAutospacing="1" w:after="100" w:afterAutospacing="1" w:line="240" w:lineRule="auto"/>
        <w:rPr>
          <w:rFonts w:ascii="Times New Roman" w:eastAsia="Times New Roman" w:hAnsi="Times New Roman" w:cs="Times New Roman"/>
          <w:color w:val="000000"/>
          <w:kern w:val="0"/>
          <w14:ligatures w14:val="none"/>
        </w:rPr>
      </w:pPr>
      <w:r w:rsidRPr="00242188">
        <w:rPr>
          <w:rFonts w:ascii="Times New Roman" w:eastAsia="Times New Roman" w:hAnsi="Times New Roman" w:cs="Times New Roman"/>
          <w:color w:val="000000"/>
          <w:kern w:val="0"/>
          <w14:ligatures w14:val="none"/>
        </w:rPr>
        <w:t>This white paper uses the PRIME Algorhythm as an orientation lens, not as a method or framework to be implemented. Fuller treatments of these constructs appear in </w:t>
      </w:r>
      <w:r w:rsidRPr="00242188">
        <w:rPr>
          <w:rFonts w:ascii="Times New Roman" w:eastAsia="Times New Roman" w:hAnsi="Times New Roman" w:cs="Times New Roman"/>
          <w:i/>
          <w:iCs/>
          <w:color w:val="000000"/>
          <w:kern w:val="0"/>
          <w14:ligatures w14:val="none"/>
        </w:rPr>
        <w:t>LEADING AI</w:t>
      </w:r>
      <w:r w:rsidRPr="00242188">
        <w:rPr>
          <w:rFonts w:ascii="Times New Roman" w:eastAsia="Times New Roman" w:hAnsi="Times New Roman" w:cs="Times New Roman"/>
          <w:color w:val="000000"/>
          <w:kern w:val="0"/>
          <w14:ligatures w14:val="none"/>
        </w:rPr>
        <w:t> and </w:t>
      </w:r>
      <w:r w:rsidRPr="00242188">
        <w:rPr>
          <w:rFonts w:ascii="Times New Roman" w:eastAsia="Times New Roman" w:hAnsi="Times New Roman" w:cs="Times New Roman"/>
          <w:i/>
          <w:iCs/>
          <w:color w:val="000000"/>
          <w:kern w:val="0"/>
          <w14:ligatures w14:val="none"/>
        </w:rPr>
        <w:t>COACHING AI</w:t>
      </w:r>
      <w:r w:rsidRPr="00242188">
        <w:rPr>
          <w:rFonts w:ascii="Times New Roman" w:eastAsia="Times New Roman" w:hAnsi="Times New Roman" w:cs="Times New Roman"/>
          <w:color w:val="000000"/>
          <w:kern w:val="0"/>
          <w14:ligatures w14:val="none"/>
        </w:rPr>
        <w:t>, where they are developed in depth and applied across leadership, coaching, and human–AI collaboration contexts.</w:t>
      </w:r>
    </w:p>
    <w:p w14:paraId="141AA05C" w14:textId="77777777" w:rsidR="00242188" w:rsidRPr="00242188" w:rsidRDefault="00242188" w:rsidP="00242188">
      <w:pPr>
        <w:rPr>
          <w:b/>
          <w:bCs/>
        </w:rPr>
      </w:pPr>
      <w:r w:rsidRPr="00242188">
        <w:rPr>
          <w:b/>
          <w:bCs/>
        </w:rPr>
        <w:lastRenderedPageBreak/>
        <w:t>Canon Note (v2.0)</w:t>
      </w:r>
    </w:p>
    <w:p w14:paraId="5C86A118" w14:textId="77777777" w:rsidR="00242188" w:rsidRPr="00242188" w:rsidRDefault="00242188" w:rsidP="00242188">
      <w:r w:rsidRPr="00242188">
        <w:t>This v2.0 edition aligns the paper with the formal canon of </w:t>
      </w:r>
      <w:r w:rsidRPr="00242188">
        <w:rPr>
          <w:i/>
          <w:iCs/>
        </w:rPr>
        <w:t>LEADING AI</w:t>
      </w:r>
      <w:r w:rsidRPr="00242188">
        <w:t> and </w:t>
      </w:r>
      <w:r w:rsidRPr="00242188">
        <w:rPr>
          <w:i/>
          <w:iCs/>
        </w:rPr>
        <w:t>COACHING AI</w:t>
      </w:r>
      <w:r w:rsidRPr="00242188">
        <w:t>. The original work is preserved as an early articulation. This revision clarifies language, stabilizes constructs, and situates the paper within an explicit governing world model without altering its foundational intent.</w:t>
      </w:r>
    </w:p>
    <w:p w14:paraId="74868304" w14:textId="77777777" w:rsidR="00242188" w:rsidRDefault="00242188"/>
    <w:sectPr w:rsidR="00242188">
      <w:headerReference w:type="default" r:id="rId7"/>
      <w:footerReference w:type="even" r:id="rId8"/>
      <w:foot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5EED95" w14:textId="77777777" w:rsidR="0028554E" w:rsidRDefault="0028554E" w:rsidP="00DB7B01">
      <w:pPr>
        <w:spacing w:after="0" w:line="240" w:lineRule="auto"/>
      </w:pPr>
      <w:r>
        <w:separator/>
      </w:r>
    </w:p>
  </w:endnote>
  <w:endnote w:type="continuationSeparator" w:id="0">
    <w:p w14:paraId="6822277E" w14:textId="77777777" w:rsidR="0028554E" w:rsidRDefault="0028554E" w:rsidP="00DB7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77444534"/>
      <w:docPartObj>
        <w:docPartGallery w:val="Page Numbers (Bottom of Page)"/>
        <w:docPartUnique/>
      </w:docPartObj>
    </w:sdtPr>
    <w:sdtContent>
      <w:p w14:paraId="35B407A6" w14:textId="5C99FD1D" w:rsidR="00DB7B01" w:rsidRDefault="00DB7B01" w:rsidP="000519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FE3D7F" w14:textId="77777777" w:rsidR="00DB7B01" w:rsidRDefault="00DB7B01" w:rsidP="00DB7B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90492968"/>
      <w:docPartObj>
        <w:docPartGallery w:val="Page Numbers (Bottom of Page)"/>
        <w:docPartUnique/>
      </w:docPartObj>
    </w:sdtPr>
    <w:sdtContent>
      <w:p w14:paraId="54F814E0" w14:textId="55CAB7F6" w:rsidR="00DB7B01" w:rsidRDefault="00DB7B01" w:rsidP="000519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561E38" w14:textId="4C743539" w:rsidR="00DB7B01" w:rsidRPr="00DB7B01" w:rsidRDefault="00DB7B01" w:rsidP="00DB7B01">
    <w:pPr>
      <w:pStyle w:val="Footer"/>
      <w:ind w:right="360"/>
      <w:rPr>
        <w:sz w:val="20"/>
        <w:szCs w:val="20"/>
      </w:rPr>
    </w:pPr>
    <w:r w:rsidRPr="00DB7B01">
      <w:rPr>
        <w:sz w:val="20"/>
        <w:szCs w:val="20"/>
      </w:rPr>
      <w:t>© Mike R Jay, Developmentalist @LeadU.ai/news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83F3BF" w14:textId="77777777" w:rsidR="0028554E" w:rsidRDefault="0028554E" w:rsidP="00DB7B01">
      <w:pPr>
        <w:spacing w:after="0" w:line="240" w:lineRule="auto"/>
      </w:pPr>
      <w:r>
        <w:separator/>
      </w:r>
    </w:p>
  </w:footnote>
  <w:footnote w:type="continuationSeparator" w:id="0">
    <w:p w14:paraId="4844A788" w14:textId="77777777" w:rsidR="0028554E" w:rsidRDefault="0028554E" w:rsidP="00DB7B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360" w:type="dxa"/>
      <w:tblInd w:w="108" w:type="dxa"/>
      <w:tblLook w:val="04A0" w:firstRow="1" w:lastRow="0" w:firstColumn="1" w:lastColumn="0" w:noHBand="0" w:noVBand="1"/>
    </w:tblPr>
    <w:tblGrid>
      <w:gridCol w:w="6164"/>
      <w:gridCol w:w="3196"/>
    </w:tblGrid>
    <w:tr w:rsidR="00DB7B01" w14:paraId="6AE86BE6" w14:textId="77777777" w:rsidTr="009616B2">
      <w:tc>
        <w:tcPr>
          <w:tcW w:w="6164" w:type="dxa"/>
          <w:tcBorders>
            <w:top w:val="nil"/>
            <w:left w:val="nil"/>
            <w:bottom w:val="nil"/>
            <w:right w:val="nil"/>
          </w:tcBorders>
        </w:tcPr>
        <w:p w14:paraId="2A596563" w14:textId="1E6528B4" w:rsidR="00DB7B01" w:rsidRPr="00D139BC" w:rsidRDefault="00DB7B01" w:rsidP="00DB7B01">
          <w:pPr>
            <w:pStyle w:val="Header"/>
            <w:contextualSpacing/>
            <w:rPr>
              <w:sz w:val="16"/>
              <w:szCs w:val="16"/>
            </w:rPr>
          </w:pPr>
          <w:r>
            <w:rPr>
              <w:b/>
              <w:bCs/>
              <w:sz w:val="16"/>
              <w:szCs w:val="16"/>
            </w:rPr>
            <w:t>COACHING AI</w:t>
          </w:r>
          <w:r w:rsidRPr="00E030C1">
            <w:rPr>
              <w:sz w:val="16"/>
              <w:szCs w:val="16"/>
            </w:rPr>
            <w:t>… ON</w:t>
          </w:r>
          <w:r>
            <w:rPr>
              <w:sz w:val="16"/>
              <w:szCs w:val="16"/>
            </w:rPr>
            <w:t xml:space="preserve"> </w:t>
          </w:r>
          <w:r w:rsidRPr="00E030C1">
            <w:rPr>
              <w:sz w:val="16"/>
              <w:szCs w:val="16"/>
            </w:rPr>
            <w:t>PURPOSE</w:t>
          </w:r>
          <w:r>
            <w:rPr>
              <w:sz w:val="16"/>
              <w:szCs w:val="16"/>
            </w:rPr>
            <w:t xml:space="preserve"> </w:t>
          </w:r>
        </w:p>
        <w:p w14:paraId="429347C7" w14:textId="77777777" w:rsidR="00DB7B01" w:rsidRDefault="00DB7B01" w:rsidP="00DB7B01">
          <w:pPr>
            <w:pStyle w:val="Header"/>
            <w:contextualSpacing/>
            <w:rPr>
              <w:sz w:val="16"/>
              <w:szCs w:val="16"/>
            </w:rPr>
          </w:pPr>
          <w:r w:rsidRPr="00E030C1">
            <w:rPr>
              <w:sz w:val="16"/>
              <w:szCs w:val="16"/>
            </w:rPr>
            <w:t xml:space="preserve">Mike R Jay, Developmentalist at </w:t>
          </w:r>
          <w:hyperlink r:id="rId1" w:history="1">
            <w:r w:rsidRPr="00E030C1">
              <w:rPr>
                <w:rStyle w:val="Hyperlink"/>
                <w:sz w:val="16"/>
                <w:szCs w:val="16"/>
              </w:rPr>
              <w:t>Leadu.ai/news</w:t>
            </w:r>
          </w:hyperlink>
        </w:p>
        <w:p w14:paraId="27357BB4" w14:textId="77777777" w:rsidR="00DB7B01" w:rsidRPr="00F0101D" w:rsidRDefault="00DB7B01" w:rsidP="00DB7B01">
          <w:pPr>
            <w:pStyle w:val="Header"/>
            <w:contextualSpacing/>
            <w:rPr>
              <w:sz w:val="16"/>
              <w:szCs w:val="16"/>
            </w:rPr>
          </w:pPr>
          <w:r>
            <w:rPr>
              <w:sz w:val="16"/>
              <w:szCs w:val="16"/>
            </w:rPr>
            <w:t xml:space="preserve">____________________________________________                                                                                                              </w:t>
          </w:r>
        </w:p>
      </w:tc>
      <w:tc>
        <w:tcPr>
          <w:tcW w:w="3196" w:type="dxa"/>
          <w:tcBorders>
            <w:top w:val="nil"/>
            <w:left w:val="nil"/>
            <w:bottom w:val="nil"/>
            <w:right w:val="nil"/>
          </w:tcBorders>
          <w:vAlign w:val="center"/>
        </w:tcPr>
        <w:p w14:paraId="49D77D22" w14:textId="77777777" w:rsidR="00DB7B01" w:rsidRDefault="00DB7B01" w:rsidP="00DB7B01">
          <w:pPr>
            <w:pStyle w:val="Header"/>
            <w:contextualSpacing/>
            <w:jc w:val="center"/>
            <w:rPr>
              <w:b/>
              <w:bCs/>
              <w:sz w:val="16"/>
              <w:szCs w:val="16"/>
            </w:rPr>
          </w:pPr>
          <w:r>
            <w:rPr>
              <w:noProof/>
            </w:rPr>
            <w:drawing>
              <wp:inline distT="0" distB="0" distL="0" distR="0" wp14:anchorId="71803BA1" wp14:editId="5F7C910A">
                <wp:extent cx="1885950" cy="336550"/>
                <wp:effectExtent l="0" t="0" r="6350" b="6350"/>
                <wp:docPr id="1458524450" name="Picture 1" descr="A blue and yellow poster with a head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13687" name="Picture 1" descr="A blue and yellow poster with a head and lines&#10;&#10;Description automatically generated"/>
                        <pic:cNvPicPr/>
                      </pic:nvPicPr>
                      <pic:blipFill rotWithShape="1">
                        <a:blip r:embed="rId2"/>
                        <a:srcRect l="6757" t="4073" r="6707" b="86256"/>
                        <a:stretch/>
                      </pic:blipFill>
                      <pic:spPr bwMode="auto">
                        <a:xfrm>
                          <a:off x="0" y="0"/>
                          <a:ext cx="1929834" cy="3443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B66AD00" w14:textId="77777777" w:rsidR="00DB7B01" w:rsidRDefault="00DB7B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7C00AC6"/>
    <w:multiLevelType w:val="multilevel"/>
    <w:tmpl w:val="DFD6D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8146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88"/>
    <w:rsid w:val="00232F1D"/>
    <w:rsid w:val="00242188"/>
    <w:rsid w:val="0028554E"/>
    <w:rsid w:val="00DB7B01"/>
    <w:rsid w:val="00FB131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135F1"/>
  <w15:chartTrackingRefBased/>
  <w15:docId w15:val="{55CEF42C-B3EE-D747-B26E-D90F9E505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21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421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421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421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21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21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21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21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21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21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421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421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421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21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21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21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21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2188"/>
    <w:rPr>
      <w:rFonts w:eastAsiaTheme="majorEastAsia" w:cstheme="majorBidi"/>
      <w:color w:val="272727" w:themeColor="text1" w:themeTint="D8"/>
    </w:rPr>
  </w:style>
  <w:style w:type="paragraph" w:styleId="Title">
    <w:name w:val="Title"/>
    <w:basedOn w:val="Normal"/>
    <w:next w:val="Normal"/>
    <w:link w:val="TitleChar"/>
    <w:uiPriority w:val="10"/>
    <w:qFormat/>
    <w:rsid w:val="002421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21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21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21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2188"/>
    <w:pPr>
      <w:spacing w:before="160"/>
      <w:jc w:val="center"/>
    </w:pPr>
    <w:rPr>
      <w:i/>
      <w:iCs/>
      <w:color w:val="404040" w:themeColor="text1" w:themeTint="BF"/>
    </w:rPr>
  </w:style>
  <w:style w:type="character" w:customStyle="1" w:styleId="QuoteChar">
    <w:name w:val="Quote Char"/>
    <w:basedOn w:val="DefaultParagraphFont"/>
    <w:link w:val="Quote"/>
    <w:uiPriority w:val="29"/>
    <w:rsid w:val="00242188"/>
    <w:rPr>
      <w:i/>
      <w:iCs/>
      <w:color w:val="404040" w:themeColor="text1" w:themeTint="BF"/>
    </w:rPr>
  </w:style>
  <w:style w:type="paragraph" w:styleId="ListParagraph">
    <w:name w:val="List Paragraph"/>
    <w:basedOn w:val="Normal"/>
    <w:uiPriority w:val="34"/>
    <w:qFormat/>
    <w:rsid w:val="00242188"/>
    <w:pPr>
      <w:ind w:left="720"/>
      <w:contextualSpacing/>
    </w:pPr>
  </w:style>
  <w:style w:type="character" w:styleId="IntenseEmphasis">
    <w:name w:val="Intense Emphasis"/>
    <w:basedOn w:val="DefaultParagraphFont"/>
    <w:uiPriority w:val="21"/>
    <w:qFormat/>
    <w:rsid w:val="00242188"/>
    <w:rPr>
      <w:i/>
      <w:iCs/>
      <w:color w:val="0F4761" w:themeColor="accent1" w:themeShade="BF"/>
    </w:rPr>
  </w:style>
  <w:style w:type="paragraph" w:styleId="IntenseQuote">
    <w:name w:val="Intense Quote"/>
    <w:basedOn w:val="Normal"/>
    <w:next w:val="Normal"/>
    <w:link w:val="IntenseQuoteChar"/>
    <w:uiPriority w:val="30"/>
    <w:qFormat/>
    <w:rsid w:val="002421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2188"/>
    <w:rPr>
      <w:i/>
      <w:iCs/>
      <w:color w:val="0F4761" w:themeColor="accent1" w:themeShade="BF"/>
    </w:rPr>
  </w:style>
  <w:style w:type="character" w:styleId="IntenseReference">
    <w:name w:val="Intense Reference"/>
    <w:basedOn w:val="DefaultParagraphFont"/>
    <w:uiPriority w:val="32"/>
    <w:qFormat/>
    <w:rsid w:val="00242188"/>
    <w:rPr>
      <w:b/>
      <w:bCs/>
      <w:smallCaps/>
      <w:color w:val="0F4761" w:themeColor="accent1" w:themeShade="BF"/>
      <w:spacing w:val="5"/>
    </w:rPr>
  </w:style>
  <w:style w:type="paragraph" w:styleId="Header">
    <w:name w:val="header"/>
    <w:basedOn w:val="Normal"/>
    <w:link w:val="HeaderChar"/>
    <w:uiPriority w:val="99"/>
    <w:unhideWhenUsed/>
    <w:rsid w:val="00DB7B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B01"/>
  </w:style>
  <w:style w:type="paragraph" w:styleId="Footer">
    <w:name w:val="footer"/>
    <w:basedOn w:val="Normal"/>
    <w:link w:val="FooterChar"/>
    <w:uiPriority w:val="99"/>
    <w:unhideWhenUsed/>
    <w:rsid w:val="00DB7B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B01"/>
  </w:style>
  <w:style w:type="character" w:styleId="Hyperlink">
    <w:name w:val="Hyperlink"/>
    <w:basedOn w:val="DefaultParagraphFont"/>
    <w:uiPriority w:val="99"/>
    <w:unhideWhenUsed/>
    <w:rsid w:val="00DB7B01"/>
    <w:rPr>
      <w:color w:val="467886" w:themeColor="hyperlink"/>
      <w:u w:val="single"/>
    </w:rPr>
  </w:style>
  <w:style w:type="table" w:styleId="TableGrid">
    <w:name w:val="Table Grid"/>
    <w:basedOn w:val="TableNormal"/>
    <w:uiPriority w:val="39"/>
    <w:rsid w:val="00DB7B01"/>
    <w:pPr>
      <w:spacing w:after="0" w:line="240" w:lineRule="auto"/>
    </w:pPr>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B7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5765357">
      <w:bodyDiv w:val="1"/>
      <w:marLeft w:val="0"/>
      <w:marRight w:val="0"/>
      <w:marTop w:val="0"/>
      <w:marBottom w:val="0"/>
      <w:divBdr>
        <w:top w:val="none" w:sz="0" w:space="0" w:color="auto"/>
        <w:left w:val="none" w:sz="0" w:space="0" w:color="auto"/>
        <w:bottom w:val="none" w:sz="0" w:space="0" w:color="auto"/>
        <w:right w:val="none" w:sz="0" w:space="0" w:color="auto"/>
      </w:divBdr>
    </w:div>
    <w:div w:id="702904887">
      <w:bodyDiv w:val="1"/>
      <w:marLeft w:val="0"/>
      <w:marRight w:val="0"/>
      <w:marTop w:val="0"/>
      <w:marBottom w:val="0"/>
      <w:divBdr>
        <w:top w:val="none" w:sz="0" w:space="0" w:color="auto"/>
        <w:left w:val="none" w:sz="0" w:space="0" w:color="auto"/>
        <w:bottom w:val="none" w:sz="0" w:space="0" w:color="auto"/>
        <w:right w:val="none" w:sz="0" w:space="0" w:color="auto"/>
      </w:divBdr>
    </w:div>
    <w:div w:id="828865365">
      <w:bodyDiv w:val="1"/>
      <w:marLeft w:val="0"/>
      <w:marRight w:val="0"/>
      <w:marTop w:val="0"/>
      <w:marBottom w:val="0"/>
      <w:divBdr>
        <w:top w:val="none" w:sz="0" w:space="0" w:color="auto"/>
        <w:left w:val="none" w:sz="0" w:space="0" w:color="auto"/>
        <w:bottom w:val="none" w:sz="0" w:space="0" w:color="auto"/>
        <w:right w:val="none" w:sz="0" w:space="0" w:color="auto"/>
      </w:divBdr>
    </w:div>
    <w:div w:id="1130441646">
      <w:bodyDiv w:val="1"/>
      <w:marLeft w:val="0"/>
      <w:marRight w:val="0"/>
      <w:marTop w:val="0"/>
      <w:marBottom w:val="0"/>
      <w:divBdr>
        <w:top w:val="none" w:sz="0" w:space="0" w:color="auto"/>
        <w:left w:val="none" w:sz="0" w:space="0" w:color="auto"/>
        <w:bottom w:val="none" w:sz="0" w:space="0" w:color="auto"/>
        <w:right w:val="none" w:sz="0" w:space="0" w:color="auto"/>
      </w:divBdr>
    </w:div>
    <w:div w:id="186313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leadu.ai/n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1672</Words>
  <Characters>9537</Characters>
  <Application>Microsoft Office Word</Application>
  <DocSecurity>0</DocSecurity>
  <Lines>79</Lines>
  <Paragraphs>22</Paragraphs>
  <ScaleCrop>false</ScaleCrop>
  <Company/>
  <LinksUpToDate>false</LinksUpToDate>
  <CharactersWithSpaces>11187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Jay</dc:creator>
  <cp:keywords/>
  <dc:description/>
  <cp:lastModifiedBy>Mike Jay</cp:lastModifiedBy>
  <cp:revision>2</cp:revision>
  <dcterms:created xsi:type="dcterms:W3CDTF">2026-02-11T01:40:00Z</dcterms:created>
  <dcterms:modified xsi:type="dcterms:W3CDTF">2026-02-11T03:36:00Z</dcterms:modified>
</cp:coreProperties>
</file>