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240"/>
        <w:pBdr>
          <w:bottom w:val="single" w:sz="14" w:space="5" w:color="A98332"/>
        </w:pBdr>
      </w:pPr>
      <w:r>
        <w:rPr>
          <w:rFonts w:ascii="Inter" w:hAnsi="Inter" w:eastAsia="Inter"/>
          <w:b/>
          <w:color w:val="A98332"/>
          <w:sz w:val="20"/>
        </w:rPr>
        <w:t>ON PURPOSE | WORKING RESEARCH PAPER</w:t>
      </w:r>
    </w:p>
    <w:p>
      <w:pPr>
        <w:pStyle w:val="Title"/>
        <w:spacing w:before="840" w:after="240"/>
      </w:pPr>
      <w:r>
        <w:rPr>
          <w:rFonts w:ascii="Inter Display" w:hAnsi="Inter Display" w:eastAsia="Inter Display"/>
          <w:b/>
          <w:color w:val="24364B"/>
          <w:sz w:val="52"/>
        </w:rPr>
        <w:t>PURPOSE AS THAT WHICH PERSISTS</w:t>
      </w:r>
    </w:p>
    <w:p>
      <w:pPr>
        <w:pStyle w:val="Subtitle"/>
        <w:spacing w:after="440"/>
      </w:pPr>
      <w:r>
        <w:rPr>
          <w:rFonts w:ascii="Inter" w:hAnsi="Inter" w:eastAsia="Inter"/>
          <w:color w:val="4D5F72"/>
          <w:sz w:val="29"/>
        </w:rPr>
        <w:t>Individual Difference, Motive Structure, and the Generative or Degenerative Expression of Purpose</w:t>
      </w:r>
    </w:p>
    <w:p>
      <w:pPr>
        <w:spacing w:after="40"/>
      </w:pPr>
      <w:r>
        <w:rPr>
          <w:rFonts w:ascii="Inter" w:hAnsi="Inter" w:eastAsia="Inter"/>
          <w:b/>
          <w:color w:val="22272E"/>
          <w:sz w:val="23"/>
        </w:rPr>
        <w:t>A Conceptual Research Paper for the ON PURPOSE Effort</w:t>
      </w:r>
    </w:p>
    <w:p>
      <w:pPr>
        <w:spacing w:after="280"/>
      </w:pPr>
      <w:r>
        <w:rPr>
          <w:rFonts w:ascii="Inter" w:hAnsi="Inter" w:eastAsia="Inter"/>
          <w:color w:val="4D5F72"/>
          <w:sz w:val="21"/>
        </w:rPr>
        <w:t>Mike R. Jay, Developmentalist</w:t>
        <w:br/>
        <w:t>Leadership University Online</w:t>
      </w:r>
    </w:p>
    <w:tbl>
      <w:tblPr>
        <w:tblW w:type="auto" w:w="0"/>
        <w:jc w:val="left"/>
        <w:tblLayout w:type="fixed"/>
        <w:tblLook w:firstColumn="1" w:firstRow="1" w:lastColumn="0" w:lastRow="0" w:noHBand="0" w:noVBand="1" w:val="04A0"/>
      </w:tblPr>
      <w:tblGrid>
        <w:gridCol w:w="5026"/>
        <w:gridCol w:w="5026"/>
      </w:tblGrid>
      <w:tr>
        <w:tc>
          <w:tcPr>
            <w:tcW w:type="dxa" w:w="1944"/>
            <w:shd w:fill="24364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b/>
                <w:color w:val="FFFFFF"/>
                <w:sz w:val="16"/>
              </w:rPr>
              <w:t>CONTROL STATUS</w:t>
            </w:r>
          </w:p>
        </w:tc>
        <w:tc>
          <w:tcPr>
            <w:tcW w:type="dxa" w:w="8064"/>
            <w:shd w:fill="F8FAF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color w:val="22272E"/>
                <w:sz w:val="17"/>
              </w:rPr>
              <w:t>Working Research Paper | Emerging Architecture Moment | Not Canon</w:t>
            </w:r>
          </w:p>
        </w:tc>
        <w:trPr>
          <w:tblHeader/>
        </w:trPr>
      </w:tr>
      <w:tr>
        <w:tc>
          <w:tcPr>
            <w:tcW w:type="dxa" w:w="1944"/>
            <w:shd w:fill="24364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b/>
                <w:color w:val="FFFFFF"/>
                <w:sz w:val="16"/>
              </w:rPr>
              <w:t>VERSION</w:t>
            </w:r>
          </w:p>
        </w:tc>
        <w:tc>
          <w:tcPr>
            <w:tcW w:type="dxa" w:w="8064"/>
            <w:shd w:fill="EEF2F5"/>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color w:val="22272E"/>
                <w:sz w:val="17"/>
              </w:rPr>
              <w:t>v081726 | Research reviewed through August 17, 2026</w:t>
            </w:r>
          </w:p>
        </w:tc>
      </w:tr>
      <w:tr>
        <w:tc>
          <w:tcPr>
            <w:tcW w:type="dxa" w:w="1944"/>
            <w:shd w:fill="24364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b/>
                <w:color w:val="FFFFFF"/>
                <w:sz w:val="16"/>
              </w:rPr>
              <w:t>RESEARCH TYPE</w:t>
            </w:r>
          </w:p>
        </w:tc>
        <w:tc>
          <w:tcPr>
            <w:tcW w:type="dxa" w:w="8064"/>
            <w:shd w:fill="F8FAF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color w:val="22272E"/>
                <w:sz w:val="17"/>
              </w:rPr>
              <w:t>Targeted conceptual review and research agenda; not a systematic review</w:t>
            </w:r>
          </w:p>
        </w:tc>
      </w:tr>
      <w:tr>
        <w:tc>
          <w:tcPr>
            <w:tcW w:type="dxa" w:w="1944"/>
            <w:shd w:fill="24364B"/>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b/>
                <w:color w:val="FFFFFF"/>
                <w:sz w:val="16"/>
              </w:rPr>
              <w:t>USE BOUNDARY</w:t>
            </w:r>
          </w:p>
        </w:tc>
        <w:tc>
          <w:tcPr>
            <w:tcW w:type="dxa" w:w="8064"/>
            <w:shd w:fill="EEF2F5"/>
            <w:tcMar>
              <w:top w:w="90" w:type="dxa"/>
              <w:start w:w="100" w:type="dxa"/>
              <w:bottom w:w="90" w:type="dxa"/>
              <w:end w:w="100" w:type="dxa"/>
            </w:tcMar>
            <w:tcBorders>
              <w:top w:val="single" w:sz="4" w:color="AAB4BE"/>
              <w:left w:val="single" w:sz="4" w:color="AAB4BE"/>
              <w:bottom w:val="single" w:sz="4" w:color="AAB4BE"/>
              <w:right w:val="single" w:sz="4" w:color="AAB4BE"/>
            </w:tcBorders>
          </w:tcPr>
          <w:p>
            <w:pPr>
              <w:widowControl/>
            </w:pPr>
            <w:r>
              <w:rPr>
                <w:rFonts w:ascii="Inter" w:hAnsi="Inter" w:eastAsia="Inter"/>
                <w:color w:val="22272E"/>
                <w:sz w:val="17"/>
              </w:rPr>
              <w:t>Does not authorize diagnosis, Purpose detection, automated person-level judgment, or consequential decision-making</w:t>
            </w:r>
          </w:p>
        </w:tc>
      </w:tr>
    </w:tbl>
    <w:p>
      <w:pPr>
        <w:spacing w:before="360" w:after="0"/>
      </w:pPr>
      <w:r>
        <w:rPr>
          <w:rFonts w:ascii="Inter" w:hAnsi="Inter" w:eastAsia="Inter"/>
          <w:color w:val="4D5F72"/>
          <w:sz w:val="17"/>
        </w:rPr>
        <w:t>© 2026 Mike R. Jay, Developmentalist @ Leadership University Online. All rights reserved.</w:t>
      </w:r>
    </w:p>
    <w:p>
      <w:pPr>
        <w:sectPr>
          <w:pgSz w:w="12240" w:h="15840"/>
          <w:pgMar w:top="979" w:right="1094" w:bottom="950" w:left="1094" w:header="403" w:footer="403" w:gutter="0"/>
          <w:cols w:space="720"/>
          <w:titlePg/>
          <w:docGrid w:linePitch="360"/>
        </w:sectPr>
      </w:pPr>
    </w:p>
    <w:p>
      <w:pPr>
        <w:pStyle w:val="Heading1"/>
        <w:keepNext/>
      </w:pPr>
      <w:r>
        <w:rPr>
          <w:rFonts w:ascii="Inter" w:hAnsi="Inter" w:eastAsia="Inter"/>
        </w:rPr>
        <w:t>Research Determination</w:t>
      </w:r>
    </w:p>
    <w:tbl>
      <w:tblPr>
        <w:tblW w:type="auto" w:w="0"/>
        <w:jc w:val="center"/>
        <w:tblLayout w:type="autofit"/>
        <w:tblLook w:firstColumn="1" w:firstRow="1" w:lastColumn="0" w:lastRow="0" w:noHBand="0" w:noVBand="1" w:val="04A0"/>
      </w:tblPr>
      <w:tblGrid>
        <w:gridCol w:w="10052"/>
      </w:tblGrid>
      <w:tr>
        <w:tc>
          <w:tcPr>
            <w:tcW w:type="dxa" w:w="10052"/>
            <w:shd w:fill="F4F6F8"/>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PRIMARY DETERMINATION</w:t>
            </w:r>
          </w:p>
          <w:p>
            <w:pPr>
              <w:widowControl/>
              <w:spacing w:after="0" w:line="259" w:lineRule="auto"/>
            </w:pPr>
            <w:r>
              <w:rPr>
                <w:rFonts w:ascii="Inter" w:hAnsi="Inter" w:eastAsia="Inter"/>
                <w:color w:val="22272E"/>
                <w:sz w:val="18"/>
              </w:rPr>
              <w:t>The EAM is theoretically credible, consistent with several established research traditions, and sufficiently specified to support a research program. The integrated claim is not yet empirically established. Current evidence supports its component relations more strongly than it supports the proposed whole.</w:t>
            </w:r>
          </w:p>
        </w:tc>
        <w:trPr>
          <w:tblHeader/>
        </w:trPr>
      </w:tr>
    </w:tbl>
    <w:p>
      <w:pPr>
        <w:spacing w:after="0"/>
      </w:pPr>
    </w:p>
    <w:p>
      <w:pPr>
        <w:pStyle w:val="BodyText"/>
        <w:keepLines w:val="0"/>
      </w:pPr>
      <w:r>
        <w:rPr>
          <w:rFonts w:ascii="Inter" w:hAnsi="Inter" w:eastAsia="Inter"/>
        </w:rPr>
        <w:t>The strongest evidence supports three foundations. First, group-level models do not automatically generalize to a particular person, especially when within-person processes differ from between-person averages. Second, purpose research increasingly treats purpose as an organizing life aim while also showing that the felt sense of purpose varies within persons and that the content and ecological fit of a purpose matter. Third, research on personality dynamics, motivation, goal systems, identity protection, self-regulation, and regulatory flexibility shows that human expression is person-specific, context-sensitive, recursive, and responsive to feedback rather than the direct output of a single trait or intention.</w:t>
      </w:r>
    </w:p>
    <w:p>
      <w:pPr>
        <w:pStyle w:val="BodyText"/>
        <w:keepLines w:val="0"/>
      </w:pPr>
      <w:r>
        <w:rPr>
          <w:rFonts w:ascii="Inter" w:hAnsi="Inter" w:eastAsia="Inter"/>
        </w:rPr>
        <w:t>The distinctive LeadU proposition goes further. It suggests that Purpose, understood provisionally as that which persists, may orient the relation among motive structure, values, possibility generation, protective continuity, situated awareness, and behavior. That orientation may remain partly outside awareness, may be expressed through changing forms, and may produce generative or degenerative consequences depending on fit with the current Situation. This proposition should be treated as a researchable architecture, not as a settled mechanism or a new authority over the person.</w:t>
      </w:r>
    </w:p>
    <w:p>
      <w:pPr>
        <w:pStyle w:val="Heading1"/>
        <w:keepNext/>
      </w:pPr>
      <w:r>
        <w:rPr>
          <w:rFonts w:ascii="Inter" w:hAnsi="Inter" w:eastAsia="Inter"/>
        </w:rPr>
        <w:t>Abstract</w:t>
      </w:r>
    </w:p>
    <w:p>
      <w:pPr>
        <w:pStyle w:val="BodyText"/>
        <w:keepLines w:val="0"/>
      </w:pPr>
      <w:r>
        <w:rPr>
          <w:rFonts w:ascii="Inter" w:hAnsi="Inter" w:eastAsia="Inter"/>
        </w:rPr>
        <w:t>This working conceptual paper examines an Emerging Architecture Moment within the ON PURPOSE effort. The EAM begins with a methodological concern: any model of human reality that excludes individual differences is structurally limited when it is used to explain, predict, prescribe, or decide for a particular person. It then advances a provisional architectural proposition. Purpose may be understood as a persistent orienting relation expressed through a person-specific motive structure, with values functioning as guiding instruments and with Generator, Protector, and Moderator serving as functional lenses for possibility production, continuity protection, and situated regulation. Energy and information move through this system with differing density, frequency, and rhythm. The same persistent orientation may therefore be expressed through forms that are generative in one Situation and degenerative in another, sometimes without the person noticing the loss of fit.</w:t>
      </w:r>
    </w:p>
    <w:p>
      <w:pPr>
        <w:pStyle w:val="BodyText"/>
        <w:keepLines w:val="0"/>
      </w:pPr>
      <w:r>
        <w:rPr>
          <w:rFonts w:ascii="Inter" w:hAnsi="Inter" w:eastAsia="Inter"/>
        </w:rPr>
        <w:t>The paper integrates idiographic science, person-situation personality research, contemporary purpose theory, implicit and self-attributed motive research, value theory, goal-systems theory, motivated reasoning, self-verification, control theory, psychological and regulatory flexibility, goal disengagement and reengagement, ecological momentary assessment, and person-environment fit. The evidence supports a strong boundary against person-level inference from population averages and supports treating purpose, motivation, and regulation as dynamic and context-dependent. It does not directly validate Purpose as the singular orchestrator of Generator, Protector, and Moderator. Accordingly, the paper distinguishes established findings, adjacent evidence, LeadU propositions, and candidate operational descriptors. It concludes with falsifiable propositions and a staged research program using longitudinal qualitative evidence, intensive repeated measures, person-specific modeling, and bounded intervention studies. Throughout, authority over meaning, Purpose, and RightACTION remains with the person.</w:t>
      </w:r>
    </w:p>
    <w:p>
      <w:pPr>
        <w:spacing w:after="160"/>
      </w:pPr>
      <w:r>
        <w:rPr>
          <w:rFonts w:ascii="Inter" w:hAnsi="Inter" w:eastAsia="Inter"/>
          <w:b/>
          <w:color w:val="24364B"/>
          <w:sz w:val="19"/>
        </w:rPr>
        <w:t xml:space="preserve">Keywords: </w:t>
      </w:r>
      <w:r>
        <w:rPr>
          <w:rFonts w:ascii="Inter" w:hAnsi="Inter" w:eastAsia="Inter"/>
          <w:color w:val="22272E"/>
          <w:sz w:val="19"/>
        </w:rPr>
        <w:t>Purpose; individual differences; idiographic science; motive structure; values; person-situation dynamics; generativity; regulatory flexibility; longitudinal evidence; human authority</w:t>
      </w:r>
    </w:p>
    <w:p>
      <w:pPr>
        <w:pStyle w:val="Heading2"/>
        <w:keepNext/>
      </w:pPr>
      <w:r>
        <w:rPr>
          <w:rFonts w:ascii="Inter" w:hAnsi="Inter" w:eastAsia="Inter"/>
        </w:rPr>
        <w:t>Paper Map</w:t>
      </w:r>
    </w:p>
    <w:tbl>
      <w:tblPr>
        <w:tblW w:type="auto" w:w="0"/>
        <w:jc w:val="center"/>
        <w:tblLayout w:type="fixed"/>
        <w:tblLook w:firstColumn="1" w:firstRow="1" w:lastColumn="0" w:lastRow="0" w:noHBand="0" w:noVBand="1" w:val="04A0"/>
      </w:tblPr>
      <w:tblGrid>
        <w:gridCol w:w="5026"/>
        <w:gridCol w:w="5026"/>
      </w:tblGrid>
      <w:tr>
        <w:trPr>
          <w:tblHeader w:val="true"/>
          <w:cantSplit/>
        </w:trPr>
        <w:tc>
          <w:tcPr>
            <w:tcW w:type="dxa" w:w="115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7"/>
              </w:rPr>
              <w:t>Section</w:t>
            </w:r>
          </w:p>
        </w:tc>
        <w:tc>
          <w:tcPr>
            <w:tcW w:type="dxa" w:w="878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7"/>
              </w:rPr>
              <w:t>Focus</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One</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The EAM and the research problem</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Two</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Evidence and governance boundaries</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Three</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Individual Difference Integrity</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Four</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What purpose research does and does not support</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Five</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Purpose as that which persists</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Six</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Motive structure, values, and expression</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Seven</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Generator, Protector, and Moderator</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Eight</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Generative and degenerative expression</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Nine</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Energy, information, density, frequency, and rhythm</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Ten</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ARIA(H), N4, and adaptation in CCR@VUCA</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Eleven</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Integrated model and research propositions</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Twelve</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Research program and falsification</w:t>
            </w:r>
          </w:p>
        </w:tc>
      </w:tr>
      <w:tr>
        <w:trPr>
          <w:cantSplit/>
        </w:trPr>
        <w:tc>
          <w:tcPr>
            <w:tcW w:type="dxa" w:w="115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Thirteen</w:t>
            </w:r>
          </w:p>
        </w:tc>
        <w:tc>
          <w:tcPr>
            <w:tcW w:type="dxa" w:w="878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Implications for ON PURPOSE and HIA</w:t>
            </w:r>
          </w:p>
        </w:tc>
      </w:tr>
      <w:tr>
        <w:trPr>
          <w:cantSplit/>
        </w:trPr>
        <w:tc>
          <w:tcPr>
            <w:tcW w:type="dxa" w:w="115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Fourteen</w:t>
            </w:r>
          </w:p>
        </w:tc>
        <w:tc>
          <w:tcPr>
            <w:tcW w:type="dxa" w:w="878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7"/>
              </w:rPr>
              <w:t>Limitations and counterpositions</w:t>
            </w:r>
          </w:p>
        </w:tc>
      </w:tr>
    </w:tbl>
    <w:p>
      <w:pPr>
        <w:spacing w:after="0"/>
      </w:pPr>
    </w:p>
    <w:p>
      <w:pPr>
        <w:pStyle w:val="Heading1"/>
        <w:keepNext/>
      </w:pPr>
      <w:r>
        <w:rPr>
          <w:rFonts w:ascii="Inter" w:hAnsi="Inter" w:eastAsia="Inter"/>
        </w:rPr>
        <w:t>1. The EAM and the Research Problem</w:t>
      </w:r>
    </w:p>
    <w:p>
      <w:pPr>
        <w:pStyle w:val="BodyText"/>
        <w:keepLines w:val="0"/>
      </w:pPr>
      <w:r>
        <w:rPr>
          <w:rFonts w:ascii="Inter" w:hAnsi="Inter" w:eastAsia="Inter"/>
        </w:rPr>
        <w:t>Many models of human behavior begin with what people do. That is understandable because behavior is observable, recordable, and often consequential. It is also already downstream from much of what produced it. Behavior may reflect a motive, a value, a learned adaptation, an identity demand, a threat response, a social expectation, a current goal, a long-standing concern, or several of these at once. When a model treats the behavior as if it contains its own explanation, it risks mistaking expression for origin.</w:t>
      </w:r>
    </w:p>
    <w:p>
      <w:pPr>
        <w:pStyle w:val="BodyText"/>
        <w:keepLines w:val="0"/>
      </w:pPr>
      <w:r>
        <w:rPr>
          <w:rFonts w:ascii="Inter" w:hAnsi="Inter" w:eastAsia="Inter"/>
        </w:rPr>
        <w:t>The problem becomes more serious when a model of patterned similarity is used as if it were a model of the person. Two people may display almost identical behavior while being moved by different relations. One person may speak first because contribution matters. Another may speak first to preserve control. A third may be responding to anxiety. The same person may produce the same behavior for different reasons in different Situations. Conversely, what matters persistently to a person may appear through very different behaviors as roles, relationships, constraints, and developmental conditions change.</w:t>
      </w:r>
    </w:p>
    <w:p>
      <w:pPr>
        <w:pStyle w:val="BodyText"/>
        <w:keepLines w:val="0"/>
      </w:pPr>
      <w:r>
        <w:rPr>
          <w:rFonts w:ascii="Inter" w:hAnsi="Inter" w:eastAsia="Inter"/>
        </w:rPr>
        <w:t>The EAM therefore begins with Individual Difference Integrity: individual difference is not noise around a human model. It is part of the reality the model must explain. A population model can identify useful regularities, but it cannot authorize a conclusion about this person without person-specific evidence, contextual testing, and correction by the person and by reality.</w:t>
      </w:r>
    </w:p>
    <w:p>
      <w:pPr>
        <w:pStyle w:val="BodyText"/>
        <w:keepLines w:val="0"/>
      </w:pPr>
      <w:r>
        <w:rPr>
          <w:rFonts w:ascii="Inter" w:hAnsi="Inter" w:eastAsia="Inter"/>
        </w:rPr>
        <w:t>The EAM then makes a second move. Within the current LeadU architecture, the Generator names the production of patterns and possibilities, the Protector names the preservation of continuity and the filtering of threat, and the Moderator names situated awareness, Relation, and regulation. The emerging question is not whether these functions exist as literal modules. The question is what organizes their relation over time. The working proposition is that Purpose may provide a persistent orientation, while motive structure governs how that orientation becomes expressible. Values participate as instruments within the orchestration. Energy and information are allocated through differing density, frequency, and rhythm. Behavior is what eventually becomes visible.</w:t>
      </w:r>
    </w:p>
    <w:p>
      <w:pPr>
        <w:pStyle w:val="BodyText"/>
        <w:keepLines w:val="0"/>
      </w:pPr>
      <w:r>
        <w:rPr>
          <w:rFonts w:ascii="Inter" w:hAnsi="Inter" w:eastAsia="Inter"/>
        </w:rPr>
        <w:t>This proposition carries an uncomfortable implication. A person can be acting on Purpose without knowing what Purpose is being served, and without the current form being healthy, wise, moral, or fitted to the Situation. A form that once generated safety, belonging, identity, or success may continue after Culture, Conditions, and Requirements have changed. What persists may remain important while the form through which it is expressed becomes costly or degenerative. Adaptability, in that case, does not require abandoning what persists. It requires changing the form through which it is carried.</w:t>
      </w:r>
    </w:p>
    <w:p>
      <w:pPr>
        <w:pStyle w:val="Heading1"/>
        <w:keepNext/>
      </w:pPr>
      <w:r>
        <w:rPr>
          <w:rFonts w:ascii="Inter" w:hAnsi="Inter" w:eastAsia="Inter"/>
        </w:rPr>
        <w:t>2. Evidence and Governance Boundaries</w:t>
      </w:r>
    </w:p>
    <w:p>
      <w:pPr>
        <w:pStyle w:val="BodyText"/>
        <w:keepLines w:val="0"/>
      </w:pPr>
      <w:r>
        <w:rPr>
          <w:rFonts w:ascii="Inter" w:hAnsi="Inter" w:eastAsia="Inter"/>
        </w:rPr>
        <w:t>This paper is a targeted conceptual synthesis, not a systematic review or meta-analysis. It draws on foundational and recent peer-reviewed work selected for relevance to the EAM, including research on group-to-person generalization, within-person variability, purpose in life, motives, values, goals, person-situation dynamics, protective cognition, self-regulation, flexibility, and longitudinal measurement. Research was reviewed through August 17, 2026. The method is appropriate for clarifying a proposed architecture and identifying testable relations, but it cannot establish completeness, effect-size estimates, or causal proof.</w:t>
      </w:r>
    </w:p>
    <w:p>
      <w:pPr>
        <w:pStyle w:val="BodyText"/>
        <w:keepLines w:val="0"/>
      </w:pPr>
      <w:r>
        <w:rPr>
          <w:rFonts w:ascii="Inter" w:hAnsi="Inter" w:eastAsia="Inter"/>
        </w:rPr>
        <w:t>The paper uses four evidence statuses. An established finding is directly supported by the cited literature. Adjacent evidence supports a component or analogous relation but not the complete LeadU proposition. A LeadU working proposition is an architectural inference that remains to be tested. A candidate operational descriptor is language proposed for measurement design but not yet validated as a construct in this combination.</w:t>
      </w:r>
    </w:p>
    <w:tbl>
      <w:tblPr>
        <w:tblW w:type="auto" w:w="0"/>
        <w:jc w:val="center"/>
        <w:tblLayout w:type="fixed"/>
        <w:tblLook w:firstColumn="1" w:firstRow="1" w:lastColumn="0" w:lastRow="0" w:noHBand="0" w:noVBand="1" w:val="04A0"/>
      </w:tblPr>
      <w:tblGrid>
        <w:gridCol w:w="3351"/>
        <w:gridCol w:w="3351"/>
        <w:gridCol w:w="3351"/>
      </w:tblGrid>
      <w:tr>
        <w:trPr>
          <w:tblHeader w:val="true"/>
          <w:cantSplit/>
        </w:trPr>
        <w:tc>
          <w:tcPr>
            <w:tcW w:type="dxa" w:w="180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Status</w:t>
            </w:r>
          </w:p>
        </w:tc>
        <w:tc>
          <w:tcPr>
            <w:tcW w:type="dxa" w:w="367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Meaning</w:t>
            </w:r>
          </w:p>
        </w:tc>
        <w:tc>
          <w:tcPr>
            <w:tcW w:type="dxa" w:w="468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Example in this paper</w:t>
            </w:r>
          </w:p>
        </w:tc>
      </w:tr>
      <w:tr>
        <w:trPr>
          <w:cantSplit/>
        </w:trPr>
        <w:tc>
          <w:tcPr>
            <w:tcW w:type="dxa" w:w="180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Established finding</w:t>
            </w:r>
          </w:p>
        </w:tc>
        <w:tc>
          <w:tcPr>
            <w:tcW w:type="dxa" w:w="367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Supported directly by peer-reviewed evidence reviewed here.</w:t>
            </w:r>
          </w:p>
        </w:tc>
        <w:tc>
          <w:tcPr>
            <w:tcW w:type="dxa" w:w="46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Within-person variability can be substantial even when individual central tendencies remain stable.</w:t>
            </w:r>
          </w:p>
        </w:tc>
      </w:tr>
      <w:tr>
        <w:trPr>
          <w:cantSplit/>
        </w:trPr>
        <w:tc>
          <w:tcPr>
            <w:tcW w:type="dxa" w:w="180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Adjacent evidence</w:t>
            </w:r>
          </w:p>
        </w:tc>
        <w:tc>
          <w:tcPr>
            <w:tcW w:type="dxa" w:w="367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Supports a component relation or useful analogy, not the integrated Purpose architecture.</w:t>
            </w:r>
          </w:p>
        </w:tc>
        <w:tc>
          <w:tcPr>
            <w:tcW w:type="dxa" w:w="46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Regulatory flexibility depends on context sensitivity, repertoire, and response to feedback.</w:t>
            </w:r>
          </w:p>
        </w:tc>
      </w:tr>
      <w:tr>
        <w:trPr>
          <w:cantSplit/>
        </w:trPr>
        <w:tc>
          <w:tcPr>
            <w:tcW w:type="dxa" w:w="180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LeadU working proposition</w:t>
            </w:r>
          </w:p>
        </w:tc>
        <w:tc>
          <w:tcPr>
            <w:tcW w:type="dxa" w:w="367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bounded architectural claim requiring direct empirical testing.</w:t>
            </w:r>
          </w:p>
        </w:tc>
        <w:tc>
          <w:tcPr>
            <w:tcW w:type="dxa" w:w="46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may orient the Generator-Protecter-Moderator relation through motive structure.</w:t>
            </w:r>
          </w:p>
        </w:tc>
      </w:tr>
      <w:tr>
        <w:trPr>
          <w:cantSplit/>
        </w:trPr>
        <w:tc>
          <w:tcPr>
            <w:tcW w:type="dxa" w:w="180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Candidate operational descriptor</w:t>
            </w:r>
          </w:p>
        </w:tc>
        <w:tc>
          <w:tcPr>
            <w:tcW w:type="dxa" w:w="367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Proposed measurement language whose reliability and validity are unknown.</w:t>
            </w:r>
          </w:p>
        </w:tc>
        <w:tc>
          <w:tcPr>
            <w:tcW w:type="dxa" w:w="46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Density, frequency, rhythm, and persistence as distinct properties of Purpose expression.</w:t>
            </w:r>
          </w:p>
        </w:tc>
      </w:tr>
    </w:tbl>
    <w:p>
      <w:pPr>
        <w:spacing w:after="0"/>
      </w:pPr>
    </w:p>
    <w:tbl>
      <w:tblPr>
        <w:tblW w:type="auto" w:w="0"/>
        <w:jc w:val="center"/>
        <w:tblLayout w:type="autofit"/>
        <w:tblLook w:firstColumn="1" w:firstRow="1" w:lastColumn="0" w:lastRow="0" w:noHBand="0" w:noVBand="1" w:val="04A0"/>
      </w:tblPr>
      <w:tblGrid>
        <w:gridCol w:w="10052"/>
      </w:tblGrid>
      <w:tr>
        <w:tc>
          <w:tcPr>
            <w:tcW w:type="dxa" w:w="10052"/>
            <w:shd w:fill="F8FAFB"/>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GOVERNANCE BOUNDARY</w:t>
            </w:r>
          </w:p>
          <w:p>
            <w:pPr>
              <w:widowControl/>
              <w:spacing w:after="0" w:line="259" w:lineRule="auto"/>
            </w:pPr>
            <w:r>
              <w:rPr>
                <w:rFonts w:ascii="Inter" w:hAnsi="Inter" w:eastAsia="Inter"/>
                <w:color w:val="22272E"/>
                <w:sz w:val="18"/>
              </w:rPr>
              <w:t>Purpose remains a person-owned hypothesis. Neither a researcher, assessment, coach, AI system, nor longitudinal model may convert predictive confidence into authority over the person's meaning, identity, Purpose, or RightACTION. Generator, Protector, and Moderator are functional noticing lenses, not diagnoses or biological modules.</w:t>
            </w:r>
          </w:p>
        </w:tc>
        <w:trPr>
          <w:tblHeader/>
        </w:trPr>
      </w:tr>
    </w:tbl>
    <w:p>
      <w:pPr>
        <w:spacing w:after="0"/>
      </w:pPr>
    </w:p>
    <w:p>
      <w:pPr>
        <w:pStyle w:val="Heading1"/>
        <w:keepNext/>
      </w:pPr>
      <w:r>
        <w:rPr>
          <w:rFonts w:ascii="Inter" w:hAnsi="Inter" w:eastAsia="Inter"/>
        </w:rPr>
        <w:t>3. Individual Difference Integrity</w:t>
      </w:r>
    </w:p>
    <w:p>
      <w:pPr>
        <w:pStyle w:val="Heading2"/>
        <w:keepNext/>
      </w:pPr>
      <w:r>
        <w:rPr>
          <w:rFonts w:ascii="Inter" w:hAnsi="Inter" w:eastAsia="Inter"/>
        </w:rPr>
        <w:t>3.1 The group-to-person problem</w:t>
      </w:r>
    </w:p>
    <w:p>
      <w:pPr>
        <w:pStyle w:val="BodyText"/>
        <w:keepLines w:val="0"/>
      </w:pPr>
      <w:r>
        <w:rPr>
          <w:rFonts w:ascii="Inter" w:hAnsi="Inter" w:eastAsia="Inter"/>
        </w:rPr>
        <w:t>Molenaar (2004) argued that psychology had relied too heavily on interindividual variation while assuming that relations observed across people also describe processes within an individual. That transfer is justified only under demanding conditions, commonly discussed in terms of ergodicity. Fisher, Medaglia, and Jeronimus (2018) later demonstrated that the gap between group-level and person-level relations is not a technical footnote. It is a threat to human-subjects research whenever average patterns are used to characterize individual dynamics without establishing equivalence.</w:t>
      </w:r>
    </w:p>
    <w:p>
      <w:pPr>
        <w:pStyle w:val="BodyText"/>
        <w:keepLines w:val="0"/>
      </w:pPr>
      <w:r>
        <w:rPr>
          <w:rFonts w:ascii="Inter" w:hAnsi="Inter" w:eastAsia="Inter"/>
        </w:rPr>
        <w:t>This matters directly for Purpose inquiry. A correlation between purpose scores and health, well-being, persistence, or behavior across a sample does not reveal what Purpose is for a particular person or how it operates from one Situation to another. The population estimate may orient inquiry. It cannot close it. The stronger the consequence of the interpretation, the stronger the requirement for person-specific, longitudinal, and situational evidence.</w:t>
      </w:r>
    </w:p>
    <w:p>
      <w:pPr>
        <w:pStyle w:val="Heading2"/>
        <w:keepNext/>
      </w:pPr>
      <w:r>
        <w:rPr>
          <w:rFonts w:ascii="Inter" w:hAnsi="Inter" w:eastAsia="Inter"/>
        </w:rPr>
        <w:t>3.2 Stable differences and variable expression</w:t>
      </w:r>
    </w:p>
    <w:p>
      <w:pPr>
        <w:pStyle w:val="BodyText"/>
        <w:keepLines w:val="0"/>
      </w:pPr>
      <w:r>
        <w:rPr>
          <w:rFonts w:ascii="Inter" w:hAnsi="Inter" w:eastAsia="Inter"/>
        </w:rPr>
        <w:t>Idiographic caution does not mean people lack stable differences. Fleeson (2001) found substantial within-person variability in personality-relevant states while also finding highly stable individual differences in the central tendencies of those state distributions. Mischel and Shoda's (1995) cognitive-affective system theory similarly reframed consistency as patterned if-then relations between persons and Situations rather than as uniform behavior across contexts. These findings support a more useful relation: people can be recognizably themselves without behaving the same way all the time.</w:t>
      </w:r>
    </w:p>
    <w:p>
      <w:pPr>
        <w:pStyle w:val="BodyText"/>
        <w:keepLines w:val="0"/>
      </w:pPr>
      <w:r>
        <w:rPr>
          <w:rFonts w:ascii="Inter" w:hAnsi="Inter" w:eastAsia="Inter"/>
        </w:rPr>
        <w:t>For the ON PURPOSE effort, that relation is crucial. Persistence should not be confused with sameness of form. A stable concern may appear through multiple roles and behaviors. A repeated behavior may be an adaptation rather than the persistent concern itself. An assessment may describe tendencies and still fail to explain the meaning of a particular action. The map can give the person language, but the territory must supply evidence, and reality must remain able to correct both.</w:t>
      </w:r>
    </w:p>
    <w:p>
      <w:pPr>
        <w:pStyle w:val="Heading2"/>
        <w:keepNext/>
      </w:pPr>
      <w:r>
        <w:rPr>
          <w:rFonts w:ascii="Inter" w:hAnsi="Inter" w:eastAsia="Inter"/>
        </w:rPr>
        <w:t>3.3 The person is not the residual</w:t>
      </w:r>
    </w:p>
    <w:p>
      <w:pPr>
        <w:pStyle w:val="BodyText"/>
        <w:keepLines w:val="0"/>
      </w:pPr>
      <w:r>
        <w:rPr>
          <w:rFonts w:ascii="Inter" w:hAnsi="Inter" w:eastAsia="Inter"/>
        </w:rPr>
        <w:t>Human models often improve prediction by treating unexplained individual variation as error. For person-level helping, that move can reverse the relationship between model and reality. The person becomes the residual left after the average has spoken. Individual Difference Integrity requires the opposite stance: the unexplained variation is a signal that the model may be missing the relation that matters here. This does not make every personal account correct. It means the model must remain open to disconfirmation by lived evidence, conflicting patterns, changed conditions, and consequences.</w:t>
      </w:r>
    </w:p>
    <w:tbl>
      <w:tblPr>
        <w:tblW w:type="auto" w:w="0"/>
        <w:jc w:val="center"/>
        <w:tblLayout w:type="autofit"/>
        <w:tblLook w:firstColumn="1" w:firstRow="1" w:lastColumn="0" w:lastRow="0" w:noHBand="0" w:noVBand="1" w:val="04A0"/>
      </w:tblPr>
      <w:tblGrid>
        <w:gridCol w:w="10052"/>
      </w:tblGrid>
      <w:tr>
        <w:tc>
          <w:tcPr>
            <w:tcW w:type="dxa" w:w="10052"/>
            <w:shd w:fill="F8FAFB"/>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INDIVIDUAL DIFFERENCE INTEGRITY TEST</w:t>
            </w:r>
          </w:p>
          <w:p>
            <w:pPr>
              <w:widowControl/>
              <w:spacing w:after="0" w:line="259" w:lineRule="auto"/>
            </w:pPr>
            <w:r>
              <w:rPr>
                <w:rFonts w:ascii="Inter" w:hAnsi="Inter" w:eastAsia="Inter"/>
                <w:color w:val="22272E"/>
                <w:sz w:val="18"/>
              </w:rPr>
              <w:t>Before a model is used to interpret or prescribe for a person, make explicit what is population-derived, what is person-specific, what remains unknown, how the person can disconfirm the interpretation, and who retains authority over meaning and action.</w:t>
            </w:r>
          </w:p>
        </w:tc>
        <w:trPr>
          <w:tblHeader/>
        </w:trPr>
      </w:tr>
    </w:tbl>
    <w:p>
      <w:pPr>
        <w:spacing w:after="0"/>
      </w:pPr>
    </w:p>
    <w:p>
      <w:pPr>
        <w:pStyle w:val="Heading1"/>
        <w:keepNext/>
      </w:pPr>
      <w:r>
        <w:rPr>
          <w:rFonts w:ascii="Inter" w:hAnsi="Inter" w:eastAsia="Inter"/>
        </w:rPr>
        <w:t>4. What Purpose Research Does and Does Not Support</w:t>
      </w:r>
    </w:p>
    <w:p>
      <w:pPr>
        <w:pStyle w:val="Heading2"/>
        <w:keepNext/>
      </w:pPr>
      <w:r>
        <w:rPr>
          <w:rFonts w:ascii="Inter" w:hAnsi="Inter" w:eastAsia="Inter"/>
        </w:rPr>
        <w:t>4.1 Purpose as an organizing life aim</w:t>
      </w:r>
    </w:p>
    <w:p>
      <w:pPr>
        <w:pStyle w:val="BodyText"/>
        <w:keepLines w:val="0"/>
      </w:pPr>
      <w:r>
        <w:rPr>
          <w:rFonts w:ascii="Inter" w:hAnsi="Inter" w:eastAsia="Inter"/>
        </w:rPr>
        <w:t>Contemporary purpose research generally treats purpose as more than a discrete goal. McKnight and Kashdan (2009) described purpose as a system that organizes life goals, effort, and meaning. Kashdan and colleagues (2024) refined the construct as a central, self-organizing life aim that provides a motivational framework for investing time, energy, and resources. Damon, Menon, and Bronk (2003), especially in developmental work, emphasized a stable and generalized intention that is meaningful to the self and consequential beyond the self. Damon's later comprehensive review (2025) continued the effort to distinguish purpose from nearby constructs while integrating developmental, motivational, and moral questions.</w:t>
      </w:r>
    </w:p>
    <w:p>
      <w:pPr>
        <w:pStyle w:val="BodyText"/>
        <w:keepLines w:val="0"/>
      </w:pPr>
      <w:r>
        <w:rPr>
          <w:rFonts w:ascii="Inter" w:hAnsi="Inter" w:eastAsia="Inter"/>
        </w:rPr>
        <w:t>These definitions overlap with the EAM at the level of orientation and organization. They support the idea that purpose can influence lower-level goals and resource allocation. They do not establish the LeadU axiom that Purpose is that which persists, nor do they validate Purpose as the orchestrator of the Generator, Protector, and Moderator. The overlap is therefore substantial but incomplete.</w:t>
      </w:r>
    </w:p>
    <w:p>
      <w:pPr>
        <w:pStyle w:val="Heading2"/>
        <w:keepNext/>
      </w:pPr>
      <w:r>
        <w:rPr>
          <w:rFonts w:ascii="Inter" w:hAnsi="Inter" w:eastAsia="Inter"/>
        </w:rPr>
        <w:t>4.2 Purpose is associated with consequential outcomes</w:t>
      </w:r>
    </w:p>
    <w:p>
      <w:pPr>
        <w:pStyle w:val="BodyText"/>
        <w:keepLines w:val="0"/>
      </w:pPr>
      <w:r>
        <w:rPr>
          <w:rFonts w:ascii="Inter" w:hAnsi="Inter" w:eastAsia="Inter"/>
        </w:rPr>
        <w:t>A large literature associates a stronger sense of purpose with well-being, healthier behavior, resilience, and health. The most recent mortality synthesis reviewed for this paper combined twenty-five samples, 488,765 participants, 48,928 deaths, and follow-up periods of up to thirty-two years. Higher purpose in life was associated with lower mortality risk, and the association was attenuated but remained after adjustment for behavioral and clinical factors or depression (Sutin et al., 2026). The study is important evidence that purpose-related measures carry consequential signal across large and diverse samples.</w:t>
      </w:r>
    </w:p>
    <w:p>
      <w:pPr>
        <w:pStyle w:val="BodyText"/>
        <w:keepLines w:val="0"/>
      </w:pPr>
      <w:r>
        <w:rPr>
          <w:rFonts w:ascii="Inter" w:hAnsi="Inter" w:eastAsia="Inter"/>
        </w:rPr>
        <w:t>It is not evidence that Purpose directly causes longevity or that all purposes are beneficial. The authors reported heterogeneity and discussed alternative pathways and confounding. Observational associations can support importance without establishing mechanism. For the present architecture, the disciplined conclusion is that purpose-related constructs matter enough to study carefully, while the pathway from purpose to outcome remains distributed across behavior, context, health, relationships, and other processes.</w:t>
      </w:r>
    </w:p>
    <w:p>
      <w:pPr>
        <w:pStyle w:val="Heading2"/>
        <w:keepNext/>
      </w:pPr>
      <w:r>
        <w:rPr>
          <w:rFonts w:ascii="Inter" w:hAnsi="Inter" w:eastAsia="Inter"/>
        </w:rPr>
        <w:t>4.3 Purposefulness varies within persons</w:t>
      </w:r>
    </w:p>
    <w:p>
      <w:pPr>
        <w:pStyle w:val="BodyText"/>
        <w:keepLines w:val="0"/>
      </w:pPr>
      <w:r>
        <w:rPr>
          <w:rFonts w:ascii="Inter" w:hAnsi="Inter" w:eastAsia="Inter"/>
        </w:rPr>
        <w:t>Pfund, Burrow, and Hill (2024) used daily-diary data to examine short-term variability in sense of purpose. Depending on how purpose was assessed, approximately forty-five to sixty-one percent of variance occurred between people, leaving a substantial portion within people across days. This result complicates any simple trait-only account. A person may possess a relatively stable dispositional sense of purpose while experiencing meaningful variation in purposefulness from one day to the next.</w:t>
      </w:r>
    </w:p>
    <w:p>
      <w:pPr>
        <w:pStyle w:val="BodyText"/>
        <w:keepLines w:val="0"/>
      </w:pPr>
      <w:r>
        <w:rPr>
          <w:rFonts w:ascii="Inter" w:hAnsi="Inter" w:eastAsia="Inter"/>
        </w:rPr>
        <w:t>The distinction helps protect the LeadU architecture from a common collapse. A fluctuating feeling of purpose is not necessarily Purpose changing. It may reflect access, activation, fit, fatigue, social interaction, progress, threat, or the current form of expression. Conversely, a consistently strong feeling of purpose does not prove that the expression is generative or morally sound. State purposefulness, purpose strength, purpose content, purpose expression, and the proposed persistent orientation must be measured separately if the EAM is to become testable.</w:t>
      </w:r>
    </w:p>
    <w:p>
      <w:pPr>
        <w:pStyle w:val="Heading2"/>
        <w:keepNext/>
      </w:pPr>
      <w:r>
        <w:rPr>
          <w:rFonts w:ascii="Inter" w:hAnsi="Inter" w:eastAsia="Inter"/>
        </w:rPr>
        <w:t>4.4 Content and ecology matter</w:t>
      </w:r>
    </w:p>
    <w:p>
      <w:pPr>
        <w:pStyle w:val="BodyText"/>
        <w:keepLines w:val="0"/>
      </w:pPr>
      <w:r>
        <w:rPr>
          <w:rFonts w:ascii="Inter" w:hAnsi="Inter" w:eastAsia="Inter"/>
        </w:rPr>
        <w:t>Burrow, Agans, Jeon, and Creim (2021) identified a blind spot in purpose research: feeling purposeful does not guarantee that every purpose content produces favorable outcomes. They proposed congruence between purpose and ecological conditions, along with feasibility of pursuit, as measurable features that influence whether purpose supports positive functioning. Their work directly strengthens the EAM's concern with Situation. Purpose strength alone is insufficient. Content, context, support, constraints, and consequences matter.</w:t>
      </w:r>
    </w:p>
    <w:p>
      <w:pPr>
        <w:pStyle w:val="BodyText"/>
        <w:keepLines w:val="0"/>
      </w:pPr>
      <w:r>
        <w:rPr>
          <w:rFonts w:ascii="Inter" w:hAnsi="Inter" w:eastAsia="Inter"/>
        </w:rPr>
        <w:t>This point also exposes a theoretical difference that the ON PURPOSE effort should preserve rather than smooth over. Some purpose theories build prosocial or beyond-the-self contribution into the definition of purpose. The LeadU axiom does not. It treats persistence as an ontological and developmental hypothesis, while generativity, morality, and fit are separate questions. That broader use may make it possible to investigate harmful or degenerative orientations, but it also risks making Purpose too inclusive. The research program must therefore test whether persistence explains anything beyond goals, identity, motives, reinforcement, and narrative coherence.</w:t>
      </w:r>
    </w:p>
    <w:tbl>
      <w:tblPr>
        <w:tblW w:type="auto" w:w="0"/>
        <w:jc w:val="center"/>
        <w:tblLayout w:type="fixed"/>
        <w:tblLook w:firstColumn="1" w:firstRow="1" w:lastColumn="0" w:lastRow="0" w:noHBand="0" w:noVBand="1" w:val="04A0"/>
      </w:tblPr>
      <w:tblGrid>
        <w:gridCol w:w="3351"/>
        <w:gridCol w:w="3351"/>
        <w:gridCol w:w="3351"/>
      </w:tblGrid>
      <w:tr>
        <w:trPr>
          <w:tblHeader w:val="true"/>
          <w:cantSplit/>
        </w:trPr>
        <w:tc>
          <w:tcPr>
            <w:tcW w:type="dxa" w:w="180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Term</w:t>
            </w:r>
          </w:p>
        </w:tc>
        <w:tc>
          <w:tcPr>
            <w:tcW w:type="dxa" w:w="396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Working distinction</w:t>
            </w:r>
          </w:p>
        </w:tc>
        <w:tc>
          <w:tcPr>
            <w:tcW w:type="dxa" w:w="432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Research implication</w:t>
            </w:r>
          </w:p>
        </w:tc>
      </w:tr>
      <w:tr>
        <w:trPr>
          <w:cantSplit/>
        </w:trPr>
        <w:tc>
          <w:tcPr>
            <w:tcW w:type="dxa" w:w="180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statement</w:t>
            </w:r>
          </w:p>
        </w:tc>
        <w:tc>
          <w:tcPr>
            <w:tcW w:type="dxa" w:w="396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verbal formulation about Purpose.</w:t>
            </w:r>
          </w:p>
        </w:tc>
        <w:tc>
          <w:tcPr>
            <w:tcW w:type="dxa" w:w="432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May focus attention; may also become a persuasive story.</w:t>
            </w:r>
          </w:p>
        </w:tc>
      </w:tr>
      <w:tr>
        <w:trPr>
          <w:cantSplit/>
        </w:trPr>
        <w:tc>
          <w:tcPr>
            <w:tcW w:type="dxa" w:w="180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Specific goal</w:t>
            </w:r>
          </w:p>
        </w:tc>
        <w:tc>
          <w:tcPr>
            <w:tcW w:type="dxa" w:w="396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desired end state with a nearer time horizon.</w:t>
            </w:r>
          </w:p>
        </w:tc>
        <w:tc>
          <w:tcPr>
            <w:tcW w:type="dxa" w:w="432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Can serve, compete with, or distract from a broader orientation.</w:t>
            </w:r>
          </w:p>
        </w:tc>
      </w:tr>
      <w:tr>
        <w:trPr>
          <w:cantSplit/>
        </w:trPr>
        <w:tc>
          <w:tcPr>
            <w:tcW w:type="dxa" w:w="180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Sense of purpose</w:t>
            </w:r>
          </w:p>
        </w:tc>
        <w:tc>
          <w:tcPr>
            <w:tcW w:type="dxa" w:w="396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The felt degree of direction, meaningful aim, or engagement.</w:t>
            </w:r>
          </w:p>
        </w:tc>
        <w:tc>
          <w:tcPr>
            <w:tcW w:type="dxa" w:w="432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Can vary within the same person across days and Situations.</w:t>
            </w:r>
          </w:p>
        </w:tc>
      </w:tr>
      <w:tr>
        <w:trPr>
          <w:cantSplit/>
        </w:trPr>
        <w:tc>
          <w:tcPr>
            <w:tcW w:type="dxa" w:w="180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content</w:t>
            </w:r>
          </w:p>
        </w:tc>
        <w:tc>
          <w:tcPr>
            <w:tcW w:type="dxa" w:w="396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What the person is oriented toward in substantive terms.</w:t>
            </w:r>
          </w:p>
        </w:tc>
        <w:tc>
          <w:tcPr>
            <w:tcW w:type="dxa" w:w="432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Raises questions of congruence, feasibility, morality, and consequence.</w:t>
            </w:r>
          </w:p>
        </w:tc>
      </w:tr>
      <w:tr>
        <w:trPr>
          <w:cantSplit/>
        </w:trPr>
        <w:tc>
          <w:tcPr>
            <w:tcW w:type="dxa" w:w="180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expression</w:t>
            </w:r>
          </w:p>
        </w:tc>
        <w:tc>
          <w:tcPr>
            <w:tcW w:type="dxa" w:w="396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The current behavior, role, strategy, or relation through which Purpose may be carried.</w:t>
            </w:r>
          </w:p>
        </w:tc>
        <w:tc>
          <w:tcPr>
            <w:tcW w:type="dxa" w:w="432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Can change without necessarily changing what persists.</w:t>
            </w:r>
          </w:p>
        </w:tc>
      </w:tr>
      <w:tr>
        <w:trPr>
          <w:cantSplit/>
        </w:trPr>
        <w:tc>
          <w:tcPr>
            <w:tcW w:type="dxa" w:w="180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hypothesis</w:t>
            </w:r>
          </w:p>
        </w:tc>
        <w:tc>
          <w:tcPr>
            <w:tcW w:type="dxa" w:w="396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provisional interpretation of what may persist across changing forms.</w:t>
            </w:r>
          </w:p>
        </w:tc>
        <w:tc>
          <w:tcPr>
            <w:tcW w:type="dxa" w:w="432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Requires longitudinal evidence, alternatives, counterevidence, and person authority.</w:t>
            </w:r>
          </w:p>
        </w:tc>
      </w:tr>
    </w:tbl>
    <w:p>
      <w:pPr>
        <w:spacing w:after="0"/>
      </w:pPr>
    </w:p>
    <w:p>
      <w:pPr>
        <w:pStyle w:val="Heading1"/>
        <w:keepNext/>
      </w:pPr>
      <w:r>
        <w:rPr>
          <w:rFonts w:ascii="Inter" w:hAnsi="Inter" w:eastAsia="Inter"/>
        </w:rPr>
        <w:t>5. Purpose as That Which Persists</w:t>
      </w:r>
    </w:p>
    <w:p>
      <w:pPr>
        <w:pStyle w:val="BodyText"/>
        <w:keepLines w:val="0"/>
      </w:pPr>
      <w:r>
        <w:rPr>
          <w:rFonts w:ascii="Inter" w:hAnsi="Inter" w:eastAsia="Inter"/>
        </w:rPr>
        <w:t>The LeadU axiom, Purpose is that which persists, is deliberately spare. It does not say that Purpose is what a person repeats most often, what a test reports, what produces success, what feels most important today, or what can be expressed most persuasively. It directs inquiry toward continuity across changing forms, roles, relationships, developmental phases, and Situations.</w:t>
      </w:r>
    </w:p>
    <w:p>
      <w:pPr>
        <w:pStyle w:val="BodyText"/>
        <w:keepLines w:val="0"/>
      </w:pPr>
      <w:r>
        <w:rPr>
          <w:rFonts w:ascii="Inter" w:hAnsi="Inter" w:eastAsia="Inter"/>
        </w:rPr>
        <w:t>The word persists must also be handled carefully. Persistence can describe habit, compulsion, reinforcement, identity defense, trauma adaptation, cultural expectation, or biological disposition. None of these should be renamed Purpose merely because it endures. In research terms, persistence is necessary to the LeadU hypothesis but not sufficient to establish it. A candidate Purpose becomes more credible when a concern recurs across genuinely different forms and conditions, survives attempts at alternative explanation, organizes choices and energy over time, and remains recognizable when previously successful expressions are released. Even then, it remains a hypothesis rather than a verdict.</w:t>
      </w:r>
    </w:p>
    <w:p>
      <w:pPr>
        <w:pStyle w:val="BodyText"/>
        <w:keepLines w:val="0"/>
      </w:pPr>
      <w:r>
        <w:rPr>
          <w:rFonts w:ascii="Inter" w:hAnsi="Inter" w:eastAsia="Inter"/>
        </w:rPr>
        <w:t>This approach gives longitudinal evidence a different role. Earlier writings, choices, conflicts, satisfactions, and repeated returns are not proof from the past. They are evidence from an earlier map. They can show recurrence, change, adaptation, and discontinuity. Present-day interpretation must remain distinguishable from historical voice so that hindsight does not manufacture a seamless Purpose story. The person is not asked to prove a conclusion already chosen. The person is invited into a long relationship with a question.</w:t>
      </w:r>
    </w:p>
    <w:p>
      <w:pPr>
        <w:pStyle w:val="BodyText"/>
        <w:keepLines w:val="0"/>
      </w:pPr>
      <w:r>
        <w:rPr>
          <w:rFonts w:ascii="Inter" w:hAnsi="Inter" w:eastAsia="Inter"/>
        </w:rPr>
        <w:t>Persistence also needs a time-scale architecture. Momentary activation, daily purposefulness, medium-term projects, identity commitments, and life-spanning orientations are not interchangeable. A useful research design must examine whether a proposed relation persists at one scale, several scales, or only after retrospective compression. Without that distinction, any frequently repeated behavior can be made to look like deep continuity.</w:t>
      </w:r>
    </w:p>
    <w:tbl>
      <w:tblPr>
        <w:tblW w:type="auto" w:w="0"/>
        <w:jc w:val="center"/>
        <w:tblLayout w:type="fixed"/>
        <w:tblLook w:firstColumn="1" w:firstRow="1" w:lastColumn="0" w:lastRow="0" w:noHBand="0" w:noVBand="1" w:val="04A0"/>
      </w:tblPr>
      <w:tblGrid>
        <w:gridCol w:w="2513"/>
        <w:gridCol w:w="2513"/>
        <w:gridCol w:w="2513"/>
        <w:gridCol w:w="2513"/>
      </w:tblGrid>
      <w:tr>
        <w:trPr>
          <w:tblHeader w:val="true"/>
          <w:cantSplit/>
        </w:trPr>
        <w:tc>
          <w:tcPr>
            <w:tcW w:type="dxa" w:w="129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Scale</w:t>
            </w:r>
          </w:p>
        </w:tc>
        <w:tc>
          <w:tcPr>
            <w:tcW w:type="dxa" w:w="151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Typical span</w:t>
            </w:r>
          </w:p>
        </w:tc>
        <w:tc>
          <w:tcPr>
            <w:tcW w:type="dxa" w:w="403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Possible evidence</w:t>
            </w:r>
          </w:p>
        </w:tc>
        <w:tc>
          <w:tcPr>
            <w:tcW w:type="dxa" w:w="324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Primary interpretive risk</w:t>
            </w:r>
          </w:p>
        </w:tc>
      </w:tr>
      <w:tr>
        <w:trPr>
          <w:cantSplit/>
        </w:trPr>
        <w:tc>
          <w:tcPr>
            <w:tcW w:type="dxa" w:w="12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Momentary</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Minutes to hours</w:t>
            </w:r>
          </w:p>
        </w:tc>
        <w:tc>
          <w:tcPr>
            <w:tcW w:type="dxa" w:w="40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Attention, affect, impulse, threat, opportunity, felt purposefulness.</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Mistaking activation for enduring orientation.</w:t>
            </w:r>
          </w:p>
        </w:tc>
      </w:tr>
      <w:tr>
        <w:trPr>
          <w:cantSplit/>
        </w:trPr>
        <w:tc>
          <w:tcPr>
            <w:tcW w:type="dxa" w:w="129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Situational</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Hours to days</w:t>
            </w:r>
          </w:p>
        </w:tc>
        <w:tc>
          <w:tcPr>
            <w:tcW w:type="dxa" w:w="40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Role demands, social cues, local goals, regulation, consequences.</w:t>
            </w:r>
          </w:p>
        </w:tc>
        <w:tc>
          <w:tcPr>
            <w:tcW w:type="dxa" w:w="324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Ignoring the effect of Culture, Conditions, and Requirements.</w:t>
            </w:r>
          </w:p>
        </w:tc>
      </w:tr>
      <w:tr>
        <w:trPr>
          <w:cantSplit/>
        </w:trPr>
        <w:tc>
          <w:tcPr>
            <w:tcW w:type="dxa" w:w="12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Project or phase</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Weeks to years</w:t>
            </w:r>
          </w:p>
        </w:tc>
        <w:tc>
          <w:tcPr>
            <w:tcW w:type="dxa" w:w="40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Commitments, identities, strategies, relationships, success patterns.</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Treating a successful form as permanent Purpose.</w:t>
            </w:r>
          </w:p>
        </w:tc>
      </w:tr>
      <w:tr>
        <w:trPr>
          <w:cantSplit/>
        </w:trPr>
        <w:tc>
          <w:tcPr>
            <w:tcW w:type="dxa" w:w="129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Longitudinal</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Years to decades</w:t>
            </w:r>
          </w:p>
        </w:tc>
        <w:tc>
          <w:tcPr>
            <w:tcW w:type="dxa" w:w="40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Recurrence across roles, forms, losses, transitions, and counterevidence.</w:t>
            </w:r>
          </w:p>
        </w:tc>
        <w:tc>
          <w:tcPr>
            <w:tcW w:type="dxa" w:w="324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Retrospective coherence and selective memory.</w:t>
            </w:r>
          </w:p>
        </w:tc>
      </w:tr>
    </w:tbl>
    <w:p>
      <w:pPr>
        <w:spacing w:after="0"/>
      </w:pPr>
    </w:p>
    <w:tbl>
      <w:tblPr>
        <w:tblW w:type="auto" w:w="0"/>
        <w:jc w:val="center"/>
        <w:tblLayout w:type="autofit"/>
        <w:tblLook w:firstColumn="1" w:firstRow="1" w:lastColumn="0" w:lastRow="0" w:noHBand="0" w:noVBand="1" w:val="04A0"/>
      </w:tblPr>
      <w:tblGrid>
        <w:gridCol w:w="10052"/>
      </w:tblGrid>
      <w:tr>
        <w:tc>
          <w:tcPr>
            <w:tcW w:type="dxa" w:w="10052"/>
            <w:shd w:fill="F8FAFB"/>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PURPOSE EVIDENCE RULE</w:t>
            </w:r>
          </w:p>
          <w:p>
            <w:pPr>
              <w:widowControl/>
              <w:spacing w:after="0" w:line="259" w:lineRule="auto"/>
            </w:pPr>
            <w:r>
              <w:rPr>
                <w:rFonts w:ascii="Inter" w:hAnsi="Inter" w:eastAsia="Inter"/>
                <w:color w:val="22272E"/>
                <w:sz w:val="18"/>
              </w:rPr>
              <w:t>Recurrence may justify a stronger Purpose hypothesis. It never gives a researcher, helper, assessment, or AI system final authority to declare the person's Purpose. The hypothesis must remain open to alternative explanation, changed evidence, and the person's own judgment.</w:t>
            </w:r>
          </w:p>
        </w:tc>
        <w:trPr>
          <w:tblHeader/>
        </w:trPr>
      </w:tr>
    </w:tbl>
    <w:p>
      <w:pPr>
        <w:spacing w:after="0"/>
      </w:pPr>
    </w:p>
    <w:p>
      <w:pPr>
        <w:pStyle w:val="Heading1"/>
        <w:keepNext/>
      </w:pPr>
      <w:r>
        <w:rPr>
          <w:rFonts w:ascii="Inter" w:hAnsi="Inter" w:eastAsia="Inter"/>
        </w:rPr>
        <w:t>6. Motive Structure, Values, and Expression</w:t>
      </w:r>
    </w:p>
    <w:p>
      <w:pPr>
        <w:pStyle w:val="Heading2"/>
        <w:keepNext/>
      </w:pPr>
      <w:r>
        <w:rPr>
          <w:rFonts w:ascii="Inter" w:hAnsi="Inter" w:eastAsia="Inter"/>
        </w:rPr>
        <w:t>6.1 Purpose does not move directly into behavior</w:t>
      </w:r>
    </w:p>
    <w:p>
      <w:pPr>
        <w:pStyle w:val="BodyText"/>
        <w:keepLines w:val="0"/>
      </w:pPr>
      <w:r>
        <w:rPr>
          <w:rFonts w:ascii="Inter" w:hAnsi="Inter" w:eastAsia="Inter"/>
        </w:rPr>
        <w:t>The EAM becomes more plausible when Purpose is not treated as a direct cause of behavior. Human action is mediated by motives, values, goals, identities, learned expectations, abilities, habits, social incentives, and current conditions. McClelland, Koestner, and Weinberger (1989) distinguished implicit motives, which are often expressed in affectively rewarding activity patterns, from self-attributed motives, which are more closely tied to consciously represented identities and socially structured incentives. The two systems may align, diverge, or be differently activated by the Situation.</w:t>
      </w:r>
    </w:p>
    <w:p>
      <w:pPr>
        <w:pStyle w:val="BodyText"/>
        <w:keepLines w:val="0"/>
      </w:pPr>
      <w:r>
        <w:rPr>
          <w:rFonts w:ascii="Inter" w:hAnsi="Inter" w:eastAsia="Inter"/>
        </w:rPr>
        <w:t>This distinction is useful for Purpose inquiry because a person's explanation for action may be sincere without exhausting the motivational structure that supports it. Likewise, an implicit motive pattern may help explain recurring energy without defining Purpose. Motives are better understood here as part of the architecture through which a persistent orientation becomes available for expression.</w:t>
      </w:r>
    </w:p>
    <w:p>
      <w:pPr>
        <w:pStyle w:val="Heading2"/>
        <w:keepNext/>
      </w:pPr>
      <w:r>
        <w:rPr>
          <w:rFonts w:ascii="Inter" w:hAnsi="Inter" w:eastAsia="Inter"/>
        </w:rPr>
        <w:t>6.2 Values are instruments, not the conductor</w:t>
      </w:r>
    </w:p>
    <w:p>
      <w:pPr>
        <w:pStyle w:val="BodyText"/>
        <w:keepLines w:val="0"/>
      </w:pPr>
      <w:r>
        <w:rPr>
          <w:rFonts w:ascii="Inter" w:hAnsi="Inter" w:eastAsia="Inter"/>
        </w:rPr>
        <w:t>Values research shows that people organize multiple desirable end states that can support or conflict with one another (Schwartz, 1992). Self-determination theory adds that autonomy, competence, and relatedness are strongly tied to motivation and well-being under supportive conditions (Ryan &amp; Deci, 2000). These traditions support the importance of values and need-relevant conditions, but they also caution against treating a declared value as a complete explanation for action.</w:t>
      </w:r>
    </w:p>
    <w:p>
      <w:pPr>
        <w:pStyle w:val="BodyText"/>
        <w:keepLines w:val="0"/>
      </w:pPr>
      <w:r>
        <w:rPr>
          <w:rFonts w:ascii="Inter" w:hAnsi="Inter" w:eastAsia="Inter"/>
        </w:rPr>
        <w:t>Within the EAM, values are instruments in the orchestration. They shape salience, evaluation, justification, and choice. They may be played loudly or quietly, harmoniously or in conflict. A value can serve different motives, and the same persistent concern can recruit different values in different Situations. Calling values instruments does not diminish them. It prevents them from being confused with the whole architecture.</w:t>
      </w:r>
    </w:p>
    <w:p>
      <w:pPr>
        <w:pStyle w:val="Heading2"/>
        <w:keepNext/>
      </w:pPr>
      <w:r>
        <w:rPr>
          <w:rFonts w:ascii="Inter" w:hAnsi="Inter" w:eastAsia="Inter"/>
        </w:rPr>
        <w:t>6.3 Goal systems clarify multiple means and ends</w:t>
      </w:r>
    </w:p>
    <w:p>
      <w:pPr>
        <w:pStyle w:val="BodyText"/>
        <w:keepLines w:val="0"/>
      </w:pPr>
      <w:r>
        <w:rPr>
          <w:rFonts w:ascii="Inter" w:hAnsi="Inter" w:eastAsia="Inter"/>
        </w:rPr>
        <w:t>Goal-systems theory provides a strong conceptual bridge. Kruglanski and colleagues (2015) describe equifinality, in which multiple means can serve the same end; multifinality, in which one means can serve several ends; and counterfinality, in which a means advances one end while undermining another. These relations map closely to the EAM without proving it. A persistent orientation may be expressed through several forms. One behavior may carry several motives. A highly successful form may serve one valued end while degrading relationships, health, agency, or longer-term fit.</w:t>
      </w:r>
    </w:p>
    <w:p>
      <w:pPr>
        <w:pStyle w:val="BodyText"/>
        <w:keepLines w:val="0"/>
      </w:pPr>
      <w:r>
        <w:rPr>
          <w:rFonts w:ascii="Inter" w:hAnsi="Inter" w:eastAsia="Inter"/>
        </w:rPr>
        <w:t>The implication is that behavior alone is underidentified. The same visible action may be generated by different motive structures, and the same proposed Purpose may be expressed through different actions. Purpose inquiry must therefore ask not only what happened, but what relations made that action likely, what else the action served, what it protected, what it cost, and whether alternative forms could carry what matters with less compensation.</w:t>
      </w:r>
    </w:p>
    <w:tbl>
      <w:tblPr>
        <w:tblW w:type="auto" w:w="0"/>
        <w:jc w:val="center"/>
        <w:tblLayout w:type="autofit"/>
        <w:tblLook w:firstColumn="1" w:firstRow="1" w:lastColumn="0" w:lastRow="0" w:noHBand="0" w:noVBand="1" w:val="04A0"/>
      </w:tblPr>
      <w:tblGrid>
        <w:gridCol w:w="10052"/>
      </w:tblGrid>
      <w:tr>
        <w:tc>
          <w:tcPr>
            <w:tcW w:type="dxa" w:w="10052"/>
            <w:shd w:fill="F8FAFB"/>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WORKING RELATIONAL EXPRESSION</w:t>
            </w:r>
          </w:p>
          <w:p>
            <w:pPr>
              <w:widowControl/>
              <w:spacing w:after="0" w:line="259" w:lineRule="auto"/>
            </w:pPr>
            <w:r>
              <w:rPr>
                <w:rFonts w:ascii="Inter" w:hAnsi="Inter" w:eastAsia="Inter"/>
                <w:color w:val="22272E"/>
                <w:sz w:val="18"/>
              </w:rPr>
              <w:t>Expression(i,t) = f[Purpose hypothesis(i), motive structure(i), values(i), identity and protective demands(i), developmental history(i), Situation(i,t), regulatory process(i,t), and feedback(i,t)].</w:t>
              <w:br/>
              <w:br/>
              <w:t>This is a conceptual relation, not a validated equation. It states that observed expression at a particular time is multiply determined and person-specific.</w:t>
            </w:r>
          </w:p>
        </w:tc>
        <w:trPr>
          <w:tblHeader/>
        </w:trPr>
      </w:tr>
    </w:tbl>
    <w:p>
      <w:pPr>
        <w:spacing w:after="0"/>
      </w:pPr>
    </w:p>
    <w:p>
      <w:pPr>
        <w:pStyle w:val="Heading1"/>
        <w:keepNext/>
      </w:pPr>
      <w:r>
        <w:rPr>
          <w:rFonts w:ascii="Inter" w:hAnsi="Inter" w:eastAsia="Inter"/>
        </w:rPr>
        <w:t>7. Generator, Protector, and Moderator</w:t>
      </w:r>
    </w:p>
    <w:p>
      <w:pPr>
        <w:pStyle w:val="Heading2"/>
        <w:keepNext/>
      </w:pPr>
      <w:r>
        <w:rPr>
          <w:rFonts w:ascii="Inter" w:hAnsi="Inter" w:eastAsia="Inter"/>
        </w:rPr>
        <w:t>7.1 Functional lenses rather than hidden executives</w:t>
      </w:r>
    </w:p>
    <w:p>
      <w:pPr>
        <w:pStyle w:val="BodyText"/>
        <w:keepLines w:val="0"/>
      </w:pPr>
      <w:r>
        <w:rPr>
          <w:rFonts w:ascii="Inter" w:hAnsi="Inter" w:eastAsia="Inter"/>
        </w:rPr>
        <w:t>Generator, Protector, and Moderator should not be represented as three miniature executives inside the person. They are functional lenses that help organize inquiry. The Generator names the proliferation of patterns, possibilities, associations, and candidate actions. The Protector names continuity preservation, threat filtering, safety, identity maintenance, and the defense of forms that have carried value or success. The Moderator names situated awareness, Relation, regulation, sequencing, and response to feedback.</w:t>
      </w:r>
    </w:p>
    <w:p>
      <w:pPr>
        <w:pStyle w:val="BodyText"/>
        <w:keepLines w:val="0"/>
      </w:pPr>
      <w:r>
        <w:rPr>
          <w:rFonts w:ascii="Inter" w:hAnsi="Inter" w:eastAsia="Inter"/>
        </w:rPr>
        <w:t>These functions can overlap. Generating a new possibility may protect identity. Protecting continuity may produce new explanations. Moderation can itself become defensive if it is used to rationalize rather than to remain open to evidence. The architecture is therefore a network, not a clean division of labor.</w:t>
      </w:r>
    </w:p>
    <w:p>
      <w:pPr>
        <w:pStyle w:val="Heading2"/>
        <w:keepNext/>
      </w:pPr>
      <w:r>
        <w:rPr>
          <w:rFonts w:ascii="Inter" w:hAnsi="Inter" w:eastAsia="Inter"/>
        </w:rPr>
        <w:t>7.2 Research adjacent to the Generator</w:t>
      </w:r>
    </w:p>
    <w:p>
      <w:pPr>
        <w:pStyle w:val="BodyText"/>
        <w:keepLines w:val="0"/>
      </w:pPr>
      <w:r>
        <w:rPr>
          <w:rFonts w:ascii="Inter" w:hAnsi="Inter" w:eastAsia="Inter"/>
        </w:rPr>
        <w:t>The Generator has adjacent support in research on goal formation, cognitive-affective processing, possible actions, and the situational activation of behavioral states. Mischel and Shoda (1995) show how internal units and Situation features interact to produce patterned responses. Goal-systems theory shows how means and ends become cognitively linked and activated. These traditions support possibility production and patterned selection, but they do not establish a distinct Generator system or locate Purpose above it.</w:t>
      </w:r>
    </w:p>
    <w:p>
      <w:pPr>
        <w:pStyle w:val="Heading2"/>
        <w:keepNext/>
      </w:pPr>
      <w:r>
        <w:rPr>
          <w:rFonts w:ascii="Inter" w:hAnsi="Inter" w:eastAsia="Inter"/>
        </w:rPr>
        <w:t>7.3 Research adjacent to the Protector</w:t>
      </w:r>
    </w:p>
    <w:p>
      <w:pPr>
        <w:pStyle w:val="BodyText"/>
        <w:keepLines w:val="0"/>
      </w:pPr>
      <w:r>
        <w:rPr>
          <w:rFonts w:ascii="Inter" w:hAnsi="Inter" w:eastAsia="Inter"/>
        </w:rPr>
        <w:t>The Protector is adjacent to research on motivated reasoning and self-verification. Kunda (1990) demonstrated how motivation can influence the cognitive processes used to reach desired conclusions, although constraints limit what can be believed. Swann and Read (1981) showed that people often seek and interpret feedback in ways that sustain existing self-conceptions. Together, these findings help explain why a once-useful form may persist even when conditions change. The person may not simply be choosing badly. The form may be carrying continuity, identity, predictability, belonging, or safety.</w:t>
      </w:r>
    </w:p>
    <w:p>
      <w:pPr>
        <w:pStyle w:val="BodyText"/>
        <w:keepLines w:val="0"/>
      </w:pPr>
      <w:r>
        <w:rPr>
          <w:rFonts w:ascii="Inter" w:hAnsi="Inter" w:eastAsia="Inter"/>
        </w:rPr>
        <w:t>This is where Purpose-Mask becomes more precise. A mask is not necessarily false or deceptive. It may be a functional and productive adaptation that made an underlying concern livable under earlier conditions. The problem arises when the Protector treats the familiar form as if losing the form would mean losing what matters. Degeneration can then occur on Purpose because the protective architecture preserves yesterday's instrument after the Situation has changed.</w:t>
      </w:r>
    </w:p>
    <w:p>
      <w:pPr>
        <w:pStyle w:val="Heading2"/>
        <w:keepNext/>
      </w:pPr>
      <w:r>
        <w:rPr>
          <w:rFonts w:ascii="Inter" w:hAnsi="Inter" w:eastAsia="Inter"/>
        </w:rPr>
        <w:t>7.4 Research adjacent to the Moderator</w:t>
      </w:r>
    </w:p>
    <w:p>
      <w:pPr>
        <w:pStyle w:val="BodyText"/>
        <w:keepLines w:val="0"/>
      </w:pPr>
      <w:r>
        <w:rPr>
          <w:rFonts w:ascii="Inter" w:hAnsi="Inter" w:eastAsia="Inter"/>
        </w:rPr>
        <w:t>The Moderator is adjacent to control theory, psychological flexibility, and regulatory flexibility. Carver and Scheier (1982) described self-regulation as a feedback process involving standards, current states, discrepancies, and corrective action. Kashdan and Rottenberg (2010) framed psychological flexibility as the capacity to contact the present, remain open to experience, and persist or change behavior in the service of chosen ends. Bonanno and Burton (2013) argued against the fallacy of uniform efficacy, proposing that adaptive regulation depends on sensitivity to context, access to a repertoire of strategies, and responsiveness to feedback.</w:t>
      </w:r>
    </w:p>
    <w:p>
      <w:pPr>
        <w:pStyle w:val="BodyText"/>
        <w:keepLines w:val="0"/>
      </w:pPr>
      <w:r>
        <w:rPr>
          <w:rFonts w:ascii="Inter" w:hAnsi="Inter" w:eastAsia="Inter"/>
        </w:rPr>
        <w:t>These ideas fit the EAM especially well. Moderation does not mean suppressing the Generator or overruling the Protector. It means keeping the system sufficiently open to Situation, alternatives, consequence, and correction. The quality of moderation is not measured by calmness alone. It is measured by whether the person can notice what is occurring, relate the relevant elements, regulate expression, and revise the form without losing authorship.</w:t>
      </w:r>
    </w:p>
    <w:p>
      <w:pPr>
        <w:pStyle w:val="Heading2"/>
        <w:keepNext/>
      </w:pPr>
      <w:r>
        <w:rPr>
          <w:rFonts w:ascii="Inter" w:hAnsi="Inter" w:eastAsia="Inter"/>
        </w:rPr>
        <w:t>7.5 Purpose as orientation, not a fourth executive</w:t>
      </w:r>
    </w:p>
    <w:p>
      <w:pPr>
        <w:pStyle w:val="BodyText"/>
        <w:keepLines w:val="0"/>
      </w:pPr>
      <w:r>
        <w:rPr>
          <w:rFonts w:ascii="Inter" w:hAnsi="Inter" w:eastAsia="Inter"/>
        </w:rPr>
        <w:t>The drum roll in the original EAM was useful because it marked a discovery: Purpose may be what organizes the relation. It becomes misleading if Purpose is then installed as a fourth executive sitting above the other three. A more defensible formulation is that Purpose provides a persistent orienting attractor or constraint, while motive structure, values, identity, history, and Situation shape the form of expression. Purpose governs orientation; motive structure governs expression. Even this formulation remains a LeadU proposition until it is operationalized and tested.</w:t>
      </w:r>
    </w:p>
    <w:p>
      <w:pPr>
        <w:pStyle w:val="Heading1"/>
        <w:keepNext/>
      </w:pPr>
      <w:r>
        <w:rPr>
          <w:rFonts w:ascii="Inter" w:hAnsi="Inter" w:eastAsia="Inter"/>
        </w:rPr>
        <w:t>8. Generative and Degenerative Expression</w:t>
      </w:r>
    </w:p>
    <w:p>
      <w:pPr>
        <w:pStyle w:val="Heading2"/>
        <w:keepNext/>
      </w:pPr>
      <w:r>
        <w:rPr>
          <w:rFonts w:ascii="Inter" w:hAnsi="Inter" w:eastAsia="Inter"/>
        </w:rPr>
        <w:t>8.1 Generativity is an outcome relation, not proof of Purpose</w:t>
      </w:r>
    </w:p>
    <w:p>
      <w:pPr>
        <w:pStyle w:val="BodyText"/>
        <w:keepLines w:val="0"/>
      </w:pPr>
      <w:r>
        <w:rPr>
          <w:rFonts w:ascii="Inter" w:hAnsi="Inter" w:eastAsia="Inter"/>
        </w:rPr>
        <w:t>McAdams and de St. Aubin (1992) treated generativity as a multidimensional concern with establishing and guiding the next generation, expressed through motives, demands, commitments, behavior, and narrative. LeadU uses generative more broadly to describe expression that increases the likelihood of coherent, sustainable, developmental, and contributive outcomes while preserving human authorship. The traditions are related but not identical.</w:t>
      </w:r>
    </w:p>
    <w:p>
      <w:pPr>
        <w:pStyle w:val="BodyText"/>
        <w:keepLines w:val="0"/>
      </w:pPr>
      <w:r>
        <w:rPr>
          <w:rFonts w:ascii="Inter" w:hAnsi="Inter" w:eastAsia="Inter"/>
        </w:rPr>
        <w:t>A generative outcome does not prove a Purpose hypothesis. Good results can arise from luck, privilege, skill, social reinforcement, or temporary fit. Poor results do not necessarily disprove what persists, because any expression is tested under conditions that include constraints, uncertainty, timing, and other people. The relevant question is whether the form repeatedly increases fit, available energy, adaptive repertoire, coherent contribution, and the ability to respond to reality without continual unnecessary compensation.</w:t>
      </w:r>
    </w:p>
    <w:p>
      <w:pPr>
        <w:pStyle w:val="Heading2"/>
        <w:keepNext/>
      </w:pPr>
      <w:r>
        <w:rPr>
          <w:rFonts w:ascii="Inter" w:hAnsi="Inter" w:eastAsia="Inter"/>
        </w:rPr>
        <w:t>8.2 Degeneration can occur through successful forms</w:t>
      </w:r>
    </w:p>
    <w:p>
      <w:pPr>
        <w:pStyle w:val="BodyText"/>
        <w:keepLines w:val="0"/>
      </w:pPr>
      <w:r>
        <w:rPr>
          <w:rFonts w:ascii="Inter" w:hAnsi="Inter" w:eastAsia="Inter"/>
        </w:rPr>
        <w:t>Degeneration need not begin with obvious dysfunction. It can begin with a form that works. Achievement, control, caretaking, independence, expertise, visibility, loyalty, or sacrifice may create real value. Success increases reinforcement and often strengthens identity around the form. When the Situation changes, the same form can become too dense, too frequent, too rigidly timed, or too protected. The person may then use more of what worked, better and faster, while fit declines.</w:t>
      </w:r>
    </w:p>
    <w:p>
      <w:pPr>
        <w:pStyle w:val="BodyText"/>
        <w:keepLines w:val="0"/>
      </w:pPr>
      <w:r>
        <w:rPr>
          <w:rFonts w:ascii="Inter" w:hAnsi="Inter" w:eastAsia="Inter"/>
        </w:rPr>
        <w:t>This is not a moral argument against persistence. It is a developmental distinction between Purpose and form. The form may have been both authentic and insufficient. Purpose-Flexibility is the capacity to release an exhausted form without abandoning what matters. Goal disengagement and reengagement research supports the broader adaptive value of withdrawing effort from unattainable goals and investing in alternatives (Wrosch et al., 2003). The EAM extends that logic by asking whether the alternative can carry the persistent orientation in a form better fitted to the current Situation.</w:t>
      </w:r>
    </w:p>
    <w:p>
      <w:pPr>
        <w:pStyle w:val="Heading2"/>
        <w:keepNext/>
      </w:pPr>
      <w:r>
        <w:rPr>
          <w:rFonts w:ascii="Inter" w:hAnsi="Inter" w:eastAsia="Inter"/>
        </w:rPr>
        <w:t>8.3 Persistence is not moral worth</w:t>
      </w:r>
    </w:p>
    <w:p>
      <w:pPr>
        <w:pStyle w:val="BodyText"/>
        <w:keepLines w:val="0"/>
      </w:pPr>
      <w:r>
        <w:rPr>
          <w:rFonts w:ascii="Inter" w:hAnsi="Inter" w:eastAsia="Inter"/>
        </w:rPr>
        <w:t>The phrase good or bad, happy or sad protects an important boundary. Persistence does not establish moral legitimacy, psychological health, or social benefit. Burrow and colleagues (2021) make clear that purpose content and ecology affect outcomes. A person can feel highly purposeful while pursuing an aim that is infeasible, incongruent, exploitative, or destructive. The ON PURPOSE effort must therefore separate the question What persists? from the questions What does it do? Whom does it affect? What does it require? What does reality return? and What matters now?</w:t>
      </w:r>
    </w:p>
    <w:tbl>
      <w:tblPr>
        <w:tblW w:type="auto" w:w="0"/>
        <w:jc w:val="center"/>
        <w:tblLayout w:type="fixed"/>
        <w:tblLook w:firstColumn="1" w:firstRow="1" w:lastColumn="0" w:lastRow="0" w:noHBand="0" w:noVBand="1" w:val="04A0"/>
      </w:tblPr>
      <w:tblGrid>
        <w:gridCol w:w="3351"/>
        <w:gridCol w:w="3351"/>
        <w:gridCol w:w="3351"/>
      </w:tblGrid>
      <w:tr>
        <w:trPr>
          <w:tblHeader w:val="true"/>
          <w:cantSplit/>
        </w:trPr>
        <w:tc>
          <w:tcPr>
            <w:tcW w:type="dxa" w:w="194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Possible persistent concern</w:t>
            </w:r>
          </w:p>
        </w:tc>
        <w:tc>
          <w:tcPr>
            <w:tcW w:type="dxa" w:w="403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Illustrative generative forms</w:t>
            </w:r>
          </w:p>
        </w:tc>
        <w:tc>
          <w:tcPr>
            <w:tcW w:type="dxa" w:w="410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Illustrative degenerative forms</w:t>
            </w:r>
          </w:p>
        </w:tc>
      </w:tr>
      <w:tr>
        <w:trPr>
          <w:cantSplit/>
        </w:trPr>
        <w:tc>
          <w:tcPr>
            <w:tcW w:type="dxa" w:w="194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Making a difference</w:t>
            </w:r>
          </w:p>
        </w:tc>
        <w:tc>
          <w:tcPr>
            <w:tcW w:type="dxa" w:w="40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Mentoring, designing enabling systems, teaching, creating opportunity.</w:t>
            </w:r>
          </w:p>
        </w:tc>
        <w:tc>
          <w:tcPr>
            <w:tcW w:type="dxa" w:w="41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Controlling others, becoming indispensable, overrunning readiness, confusing personal presence with contribution.</w:t>
            </w:r>
          </w:p>
        </w:tc>
      </w:tr>
      <w:tr>
        <w:trPr>
          <w:cantSplit/>
        </w:trPr>
        <w:tc>
          <w:tcPr>
            <w:tcW w:type="dxa" w:w="194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Care and protection</w:t>
            </w:r>
          </w:p>
        </w:tc>
        <w:tc>
          <w:tcPr>
            <w:tcW w:type="dxa" w:w="40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Attuned support, boundaries, advocacy, stewardship.</w:t>
            </w:r>
          </w:p>
        </w:tc>
        <w:tc>
          <w:tcPr>
            <w:tcW w:type="dxa" w:w="41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Overfunctioning, rescuing, suppressing another person's authorship, refusing necessary conflict.</w:t>
            </w:r>
          </w:p>
        </w:tc>
      </w:tr>
      <w:tr>
        <w:trPr>
          <w:cantSplit/>
        </w:trPr>
        <w:tc>
          <w:tcPr>
            <w:tcW w:type="dxa" w:w="194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Independence</w:t>
            </w:r>
          </w:p>
        </w:tc>
        <w:tc>
          <w:tcPr>
            <w:tcW w:type="dxa" w:w="40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Original thinking, initiative, responsible agency, innovation.</w:t>
            </w:r>
          </w:p>
        </w:tc>
        <w:tc>
          <w:tcPr>
            <w:tcW w:type="dxa" w:w="41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Isolation, refusal of interdependence, rejecting correction, carrying avoidable load alone.</w:t>
            </w:r>
          </w:p>
        </w:tc>
      </w:tr>
      <w:tr>
        <w:trPr>
          <w:cantSplit/>
        </w:trPr>
        <w:tc>
          <w:tcPr>
            <w:tcW w:type="dxa" w:w="194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Mastery</w:t>
            </w:r>
          </w:p>
        </w:tc>
        <w:tc>
          <w:tcPr>
            <w:tcW w:type="dxa" w:w="40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Practice, craftsmanship, disciplined improvement, service through competence.</w:t>
            </w:r>
          </w:p>
        </w:tc>
        <w:tc>
          <w:tcPr>
            <w:tcW w:type="dxa" w:w="41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Perfectionism, status defense, inability to release expertise, treating uncertainty as failure.</w:t>
            </w:r>
          </w:p>
        </w:tc>
      </w:tr>
    </w:tbl>
    <w:p>
      <w:pPr>
        <w:spacing w:after="0"/>
      </w:pPr>
    </w:p>
    <w:p>
      <w:pPr>
        <w:spacing w:after="100"/>
      </w:pPr>
      <w:r>
        <w:rPr>
          <w:rFonts w:ascii="Inter" w:hAnsi="Inter" w:eastAsia="Inter"/>
          <w:b/>
          <w:color w:val="4D5F72"/>
          <w:sz w:val="17"/>
        </w:rPr>
        <w:t xml:space="preserve">Note. </w:t>
      </w:r>
      <w:r>
        <w:rPr>
          <w:rFonts w:ascii="Inter" w:hAnsi="Inter" w:eastAsia="Inter"/>
          <w:i/>
          <w:color w:val="4D5F72"/>
          <w:sz w:val="17"/>
        </w:rPr>
        <w:t>Examples are heuristic and non-diagnostic. The same behavior may carry different relations for different people or for the same person in a different Situation.</w:t>
      </w:r>
    </w:p>
    <w:p>
      <w:pPr>
        <w:pStyle w:val="Heading1"/>
        <w:keepNext/>
      </w:pPr>
      <w:r>
        <w:rPr>
          <w:rFonts w:ascii="Inter" w:hAnsi="Inter" w:eastAsia="Inter"/>
        </w:rPr>
        <w:t>9. Energy, Information, Density, Frequency, and Rhythm</w:t>
      </w:r>
    </w:p>
    <w:p>
      <w:pPr>
        <w:pStyle w:val="BodyText"/>
        <w:keepLines w:val="0"/>
      </w:pPr>
      <w:r>
        <w:rPr>
          <w:rFonts w:ascii="Inter" w:hAnsi="Inter" w:eastAsia="Inter"/>
        </w:rPr>
        <w:t>The EAM introduces energy and information, along with density, frequency, and rhythm, as properties of expression. This language is promising because it may help distinguish persistence from mere repetition. It is also the least empirically developed part of the architecture and should remain explicitly provisional.</w:t>
      </w:r>
    </w:p>
    <w:p>
      <w:pPr>
        <w:pStyle w:val="Heading2"/>
        <w:keepNext/>
      </w:pPr>
      <w:r>
        <w:rPr>
          <w:rFonts w:ascii="Inter" w:hAnsi="Inter" w:eastAsia="Inter"/>
        </w:rPr>
        <w:t>9.1 Energy and information</w:t>
      </w:r>
    </w:p>
    <w:p>
      <w:pPr>
        <w:pStyle w:val="BodyText"/>
        <w:keepLines w:val="0"/>
      </w:pPr>
      <w:r>
        <w:rPr>
          <w:rFonts w:ascii="Inter" w:hAnsi="Inter" w:eastAsia="Inter"/>
        </w:rPr>
        <w:t>Energy should not be used as a vague synonym for importance or as an unmeasured biological claim. At a psychological and behavioral level, it may refer to experienced activation, effort allocation, attention, affective charge, recovery cost, persistence of engagement, or available regulatory resources. Information may refer to cues, feedback, expectations, meanings, memories, discrepancies, and changes in the Situation. Each meaning requires an observable indicator if the construct is to support research rather than metaphor alone.</w:t>
      </w:r>
    </w:p>
    <w:p>
      <w:pPr>
        <w:pStyle w:val="BodyText"/>
        <w:keepLines w:val="0"/>
      </w:pPr>
      <w:r>
        <w:rPr>
          <w:rFonts w:ascii="Inter" w:hAnsi="Inter" w:eastAsia="Inter"/>
        </w:rPr>
        <w:t>Within LeadU, Wellth is defined as the increasing availability of energy for purposeful emergence because less energy is continually consumed by unnecessary compensation. The EAM offers a possible mechanism for that relation: a protected, exhausted form may consume attention and effort to maintain itself, whereas a better-fitted form may carry what matters with less compensatory load. This remains an architectural hypothesis. It could be tested through subjective energy, effort, stress, recovery, time use, behavioral persistence, and physiological measures where ethically and scientifically appropriate.</w:t>
      </w:r>
    </w:p>
    <w:p>
      <w:pPr>
        <w:pStyle w:val="Heading2"/>
        <w:keepNext/>
      </w:pPr>
      <w:r>
        <w:rPr>
          <w:rFonts w:ascii="Inter" w:hAnsi="Inter" w:eastAsia="Inter"/>
        </w:rPr>
        <w:t>9.2 Candidate operational descriptors</w:t>
      </w:r>
    </w:p>
    <w:tbl>
      <w:tblPr>
        <w:tblW w:type="auto" w:w="0"/>
        <w:jc w:val="center"/>
        <w:tblLayout w:type="fixed"/>
        <w:tblLook w:firstColumn="1" w:firstRow="1" w:lastColumn="0" w:lastRow="0" w:noHBand="0" w:noVBand="1" w:val="04A0"/>
      </w:tblPr>
      <w:tblGrid>
        <w:gridCol w:w="3351"/>
        <w:gridCol w:w="3351"/>
        <w:gridCol w:w="3351"/>
      </w:tblGrid>
      <w:tr>
        <w:trPr>
          <w:tblHeader w:val="true"/>
          <w:cantSplit/>
        </w:trPr>
        <w:tc>
          <w:tcPr>
            <w:tcW w:type="dxa" w:w="122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Descriptor</w:t>
            </w:r>
          </w:p>
        </w:tc>
        <w:tc>
          <w:tcPr>
            <w:tcW w:type="dxa" w:w="453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Working definition</w:t>
            </w:r>
          </w:p>
        </w:tc>
        <w:tc>
          <w:tcPr>
            <w:tcW w:type="dxa" w:w="432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Candidate indicators</w:t>
            </w:r>
          </w:p>
        </w:tc>
      </w:tr>
      <w:tr>
        <w:trPr>
          <w:cantSplit/>
        </w:trPr>
        <w:tc>
          <w:tcPr>
            <w:tcW w:type="dxa" w:w="122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Density</w:t>
            </w:r>
          </w:p>
        </w:tc>
        <w:tc>
          <w:tcPr>
            <w:tcW w:type="dxa" w:w="453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How much meaning, identity investment, affective charge, attention, or consequence is concentrated in an episode or pattern.</w:t>
            </w:r>
          </w:p>
        </w:tc>
        <w:tc>
          <w:tcPr>
            <w:tcW w:type="dxa" w:w="432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Identity centrality; affect intensity; perceived stakes; attentional capture; recovery cost.</w:t>
            </w:r>
          </w:p>
        </w:tc>
      </w:tr>
      <w:tr>
        <w:trPr>
          <w:cantSplit/>
        </w:trPr>
        <w:tc>
          <w:tcPr>
            <w:tcW w:type="dxa" w:w="122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Frequency</w:t>
            </w:r>
          </w:p>
        </w:tc>
        <w:tc>
          <w:tcPr>
            <w:tcW w:type="dxa" w:w="453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How often a pattern, concern, cue, or form is activated or enacted over a defined period.</w:t>
            </w:r>
          </w:p>
        </w:tc>
        <w:tc>
          <w:tcPr>
            <w:tcW w:type="dxa" w:w="432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Event counts; recurrence across contexts; burst patterns; exposure or rehearsal rates.</w:t>
            </w:r>
          </w:p>
        </w:tc>
      </w:tr>
      <w:tr>
        <w:trPr>
          <w:cantSplit/>
        </w:trPr>
        <w:tc>
          <w:tcPr>
            <w:tcW w:type="dxa" w:w="122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Rhythm</w:t>
            </w:r>
          </w:p>
        </w:tc>
        <w:tc>
          <w:tcPr>
            <w:tcW w:type="dxa" w:w="453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The timing, pacing, sequencing, duration, interruption, and recovery pattern of expression.</w:t>
            </w:r>
          </w:p>
        </w:tc>
        <w:tc>
          <w:tcPr>
            <w:tcW w:type="dxa" w:w="432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Time-series intervals; lagged relations; escalation and recovery curves; synchronization with others.</w:t>
            </w:r>
          </w:p>
        </w:tc>
      </w:tr>
      <w:tr>
        <w:trPr>
          <w:cantSplit/>
        </w:trPr>
        <w:tc>
          <w:tcPr>
            <w:tcW w:type="dxa" w:w="122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Persistence</w:t>
            </w:r>
          </w:p>
        </w:tc>
        <w:tc>
          <w:tcPr>
            <w:tcW w:type="dxa" w:w="453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The continuity of an orientation or relation across time, forms, and changing Situations.</w:t>
            </w:r>
          </w:p>
        </w:tc>
        <w:tc>
          <w:tcPr>
            <w:tcW w:type="dxa" w:w="432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Cross-context recurrence; survival under transition; form change with thematic continuity; longitudinal narrative evidence.</w:t>
            </w:r>
          </w:p>
        </w:tc>
      </w:tr>
    </w:tbl>
    <w:p>
      <w:pPr>
        <w:spacing w:after="0"/>
      </w:pPr>
    </w:p>
    <w:p>
      <w:pPr>
        <w:pStyle w:val="BodyText"/>
        <w:keepLines w:val="0"/>
      </w:pPr>
      <w:r>
        <w:rPr>
          <w:rFonts w:ascii="Inter" w:hAnsi="Inter" w:eastAsia="Inter"/>
        </w:rPr>
        <w:t>These descriptors should be measured separately. High frequency is not necessarily high density. A pattern may occur rarely but carry enormous identity weight. A highly persistent concern may be expressed through a low-frequency action during a particular life phase. Rhythm may reveal adaptation that a total count misses, such as whether a person can pause, recover, seek Relation, or change sequence before protective escalation becomes behavior.</w:t>
      </w:r>
    </w:p>
    <w:p>
      <w:pPr>
        <w:pStyle w:val="Heading1"/>
        <w:keepNext/>
      </w:pPr>
      <w:r>
        <w:rPr>
          <w:rFonts w:ascii="Inter" w:hAnsi="Inter" w:eastAsia="Inter"/>
        </w:rPr>
        <w:t>10. ARIA(H), N4, and Adaptation in CCR@VUCA</w:t>
      </w:r>
    </w:p>
    <w:p>
      <w:pPr>
        <w:pStyle w:val="BodyText"/>
        <w:keepLines w:val="0"/>
      </w:pPr>
      <w:r>
        <w:rPr>
          <w:rFonts w:ascii="Inter" w:hAnsi="Inter" w:eastAsia="Inter"/>
        </w:rPr>
        <w:t>CCR@VUCA names Culture, Conditions, and Requirements under volatility, uncertainty, complexity, and ambiguity. It is not background scenery. It is the moving field in which fit is tested. A behavior that is generative in one field may be insufficient or harmful in another. A model that ignores individual differences fails on one side of the relation. A model that ignores the Situation fails on the other.</w:t>
      </w:r>
    </w:p>
    <w:p>
      <w:pPr>
        <w:pStyle w:val="Heading2"/>
        <w:keepNext/>
      </w:pPr>
      <w:r>
        <w:rPr>
          <w:rFonts w:ascii="Inter" w:hAnsi="Inter" w:eastAsia="Inter"/>
        </w:rPr>
        <w:t>10.1 ARIA(H) as relational rhythm</w:t>
      </w:r>
    </w:p>
    <w:p>
      <w:pPr>
        <w:pStyle w:val="BodyText"/>
        <w:keepLines w:val="0"/>
      </w:pPr>
      <w:r>
        <w:rPr>
          <w:rFonts w:ascii="Inter" w:hAnsi="Inter" w:eastAsia="Inter"/>
        </w:rPr>
        <w:t>ARIA(H) names Attention, Relation, Intention, Alignment, and Helping. In the EAM, ARIA(H) can be treated as a relational rhythm through which Purpose expression is examined rather than assumed. Attention determines what enters the field. Relation connects Self, others, evidence, history, and Situation. Intention organizes near-term direction without pretending to settle Purpose. Alignment tests coherence and fit. Helping is called when needed, while remaining subordinate to the person's authorship.</w:t>
      </w:r>
    </w:p>
    <w:p>
      <w:pPr>
        <w:pStyle w:val="BodyText"/>
        <w:keepLines w:val="0"/>
      </w:pPr>
      <w:r>
        <w:rPr>
          <w:rFonts w:ascii="Inter" w:hAnsi="Inter" w:eastAsia="Inter"/>
        </w:rPr>
        <w:t>ARIA(H) has conceptual affinity with regulatory flexibility but should not be presented as an empirically validated implementation of that literature. Bonanno and Burton's (2013) three components provide a useful research mapping: Attention and Relation may support context sensitivity; Intention and Helping may expand the available repertoire; Alignment and subsequent observation may support responsiveness to feedback. The mapping is plausible. Direct evidence is still required.</w:t>
      </w:r>
    </w:p>
    <w:p>
      <w:pPr>
        <w:pStyle w:val="Heading2"/>
        <w:keepNext/>
      </w:pPr>
      <w:r>
        <w:rPr>
          <w:rFonts w:ascii="Inter" w:hAnsi="Inter" w:eastAsia="Inter"/>
        </w:rPr>
        <w:t>10.2 N4 as a micro-regulatory loop</w:t>
      </w:r>
    </w:p>
    <w:p>
      <w:pPr>
        <w:pStyle w:val="BodyText"/>
        <w:keepLines w:val="0"/>
      </w:pPr>
      <w:r>
        <w:rPr>
          <w:rFonts w:ascii="Inter" w:hAnsi="Inter" w:eastAsia="Inter"/>
        </w:rPr>
        <w:t>N4, Noticing, Recognizing, Relating, and Regulating, supplies a micro-practice that can keep ARIA(H) from becoming declarative. Noticing detects activation or change. Recognizing gives the pattern enough form to examine it. Relating asks how it connects with motives, values, identity, history, others, and Situation. Regulating changes pace, sequence, expression, or action while preserving the ability to learn from consequence.</w:t>
      </w:r>
    </w:p>
    <w:p>
      <w:pPr>
        <w:pStyle w:val="BodyText"/>
        <w:keepLines w:val="0"/>
      </w:pPr>
      <w:r>
        <w:rPr>
          <w:rFonts w:ascii="Inter" w:hAnsi="Inter" w:eastAsia="Inter"/>
        </w:rPr>
        <w:t>The combination is especially relevant to the EAM's concern with degeneration without awareness. A person may not need a different Purpose. The person may need enough awareness and regulatory flexibility to recognize that a familiar instrument has taken over the orchestra. The research question is whether structured use of ARIA(H) and N4 improves context sensitivity, repertoire, feedback use, fit, and lower-compensation expression beyond neutral reflection or ordinary goal review.</w:t>
      </w:r>
    </w:p>
    <w:p>
      <w:pPr>
        <w:pStyle w:val="Heading2"/>
        <w:keepNext/>
      </w:pPr>
      <w:r>
        <w:rPr>
          <w:rFonts w:ascii="Inter" w:hAnsi="Inter" w:eastAsia="Inter"/>
        </w:rPr>
        <w:t>10.3 Adaptability as continuity through changing form</w:t>
      </w:r>
    </w:p>
    <w:p>
      <w:pPr>
        <w:pStyle w:val="BodyText"/>
        <w:keepLines w:val="0"/>
      </w:pPr>
      <w:r>
        <w:rPr>
          <w:rFonts w:ascii="Inter" w:hAnsi="Inter" w:eastAsia="Inter"/>
        </w:rPr>
        <w:t>Regulatory flexibility research argues against universal claims that a single strategy is always adaptive. Wrosch and colleagues (2003) similarly show that disengagement from unattainable goals can be adaptive when it is paired with reengagement elsewhere. These findings support a core ON PURPOSE distinction: adaptability is not necessarily the abandonment of what persists. It may be the developmental ability to stop insisting that one form has permanent authority over expression.</w:t>
      </w:r>
    </w:p>
    <w:tbl>
      <w:tblPr>
        <w:tblW w:type="auto" w:w="0"/>
        <w:jc w:val="center"/>
        <w:tblLayout w:type="autofit"/>
        <w:tblLook w:firstColumn="1" w:firstRow="1" w:lastColumn="0" w:lastRow="0" w:noHBand="0" w:noVBand="1" w:val="04A0"/>
      </w:tblPr>
      <w:tblGrid>
        <w:gridCol w:w="10052"/>
      </w:tblGrid>
      <w:tr>
        <w:tc>
          <w:tcPr>
            <w:tcW w:type="dxa" w:w="10052"/>
            <w:shd w:fill="F8FAFB"/>
            <w:tcMar>
              <w:top w:w="130" w:type="dxa"/>
              <w:start w:w="170" w:type="dxa"/>
              <w:bottom w:w="130" w:type="dxa"/>
              <w:end w:w="170" w:type="dxa"/>
            </w:tcMar>
            <w:tcBorders>
              <w:top w:val="single" w:sz="4" w:color="AAB4BE"/>
              <w:left w:val="single" w:sz="24" w:color="A98332"/>
              <w:bottom w:val="single" w:sz="4" w:color="AAB4BE"/>
              <w:right w:val="single" w:sz="4" w:color="AAB4BE"/>
            </w:tcBorders>
          </w:tcPr>
          <w:p>
            <w:pPr>
              <w:widowControl/>
              <w:spacing w:after="60"/>
            </w:pPr>
            <w:r>
              <w:rPr>
                <w:rFonts w:ascii="Inter" w:hAnsi="Inter" w:eastAsia="Inter"/>
                <w:b/>
                <w:color w:val="24364B"/>
                <w:sz w:val="18"/>
              </w:rPr>
              <w:t>WORKING ADAPTABILITY PROPOSITION</w:t>
            </w:r>
          </w:p>
          <w:p>
            <w:pPr>
              <w:widowControl/>
              <w:spacing w:after="0" w:line="259" w:lineRule="auto"/>
            </w:pPr>
            <w:r>
              <w:rPr>
                <w:rFonts w:ascii="Inter" w:hAnsi="Inter" w:eastAsia="Inter"/>
                <w:color w:val="22272E"/>
                <w:sz w:val="18"/>
              </w:rPr>
              <w:t>Adaptability in Purpose expression is the ability to preserve contact with what may persist while varying the means, role, pace, relationship, boundary, or action in response to changing Culture, Conditions, Requirements, evidence, and consequence.</w:t>
            </w:r>
          </w:p>
        </w:tc>
        <w:trPr>
          <w:tblHeader/>
        </w:trPr>
      </w:tr>
    </w:tbl>
    <w:p>
      <w:pPr>
        <w:spacing w:after="0"/>
      </w:pPr>
    </w:p>
    <w:p>
      <w:pPr>
        <w:pStyle w:val="Heading1"/>
        <w:keepNext/>
      </w:pPr>
      <w:r>
        <w:rPr>
          <w:rFonts w:ascii="Inter" w:hAnsi="Inter" w:eastAsia="Inter"/>
        </w:rPr>
        <w:t>11. Integrated Model and Research Propositions</w:t>
      </w:r>
    </w:p>
    <w:p>
      <w:pPr>
        <w:pStyle w:val="BodyText"/>
        <w:keepLines w:val="0"/>
      </w:pPr>
      <w:r>
        <w:rPr>
          <w:rFonts w:ascii="Inter" w:hAnsi="Inter" w:eastAsia="Inter"/>
        </w:rPr>
        <w:t>Figure One represents the EAM as a recursive, person-specific relation. It is not a causal flowchart and should not be read as a biological map. Purpose appears as a hypothesis about persistent orientation. Motive structure, values, identity, history, and learned adaptations shape expression. Generator, Protector, and Moderator name interacting functions. Behavior enters a particular Situation, consequences return information, and the architecture is either revised or protected against revision.</w:t>
      </w:r>
    </w:p>
    <w:p>
      <w:pPr>
        <w:spacing w:before="100" w:after="60"/>
        <w:jc w:val="center"/>
      </w:pPr>
      <w:r>
        <w:rPr>
          <w:rFonts w:ascii="Inter" w:hAnsi="Inter" w:eastAsia="Inter"/>
        </w:rPr>
        <w:drawing>
          <wp:inline xmlns:a="http://schemas.openxmlformats.org/drawingml/2006/main" xmlns:pic="http://schemas.openxmlformats.org/drawingml/2006/picture">
            <wp:extent cx="6172200" cy="3583777"/>
            <wp:docPr id="1" name="Picture 1" title="Proposed Purpose-Orchestration Model" descr="A recursive conceptual model showing a provisional Purpose hypothesis orienting motive structure and values, interacting Generator, Protector, and Moderator functions, expression in Situation and CCR@VUCA, and consequence feeding back as longitudinal evidence and correction. The figure states that it is not a linear causal chain, biological map, or authority over the person."/>
            <wp:cNvGraphicFramePr>
              <a:graphicFrameLocks noChangeAspect="1"/>
            </wp:cNvGraphicFramePr>
            <a:graphic>
              <a:graphicData uri="http://schemas.openxmlformats.org/drawingml/2006/picture">
                <pic:pic>
                  <pic:nvPicPr>
                    <pic:cNvPr id="0" name="purpose_orchestration_model.png"/>
                    <pic:cNvPicPr/>
                  </pic:nvPicPr>
                  <pic:blipFill>
                    <a:blip r:embed="rId11"/>
                    <a:stretch>
                      <a:fillRect/>
                    </a:stretch>
                  </pic:blipFill>
                  <pic:spPr>
                    <a:xfrm>
                      <a:off x="0" y="0"/>
                      <a:ext cx="6172200" cy="3583777"/>
                    </a:xfrm>
                    <a:prstGeom prst="rect"/>
                  </pic:spPr>
                </pic:pic>
              </a:graphicData>
            </a:graphic>
          </wp:inline>
        </w:drawing>
      </w:r>
    </w:p>
    <w:p>
      <w:pPr>
        <w:spacing w:after="140"/>
        <w:jc w:val="center"/>
      </w:pPr>
      <w:r>
        <w:rPr>
          <w:rFonts w:ascii="Inter" w:hAnsi="Inter" w:eastAsia="Inter"/>
          <w:i/>
          <w:color w:val="4D5F72"/>
          <w:sz w:val="16"/>
        </w:rPr>
        <w:t>Figure 1. Proposed Purpose-Orchestration Model. Working conceptual relation; not validated mechanism or biological map.</w:t>
      </w:r>
    </w:p>
    <w:p>
      <w:pPr>
        <w:pStyle w:val="Heading2"/>
        <w:keepNext/>
      </w:pPr>
      <w:r>
        <w:rPr>
          <w:rFonts w:ascii="Inter" w:hAnsi="Inter" w:eastAsia="Inter"/>
        </w:rPr>
        <w:t>11.1 Core propositions</w:t>
      </w:r>
    </w:p>
    <w:tbl>
      <w:tblPr>
        <w:tblW w:type="auto" w:w="0"/>
        <w:jc w:val="center"/>
        <w:tblLayout w:type="fixed"/>
        <w:tblLook w:firstColumn="1" w:firstRow="1" w:lastColumn="0" w:lastRow="0" w:noHBand="0" w:noVBand="1" w:val="04A0"/>
      </w:tblPr>
      <w:tblGrid>
        <w:gridCol w:w="5026"/>
        <w:gridCol w:w="5026"/>
      </w:tblGrid>
      <w:tr>
        <w:trPr>
          <w:tblHeader w:val="true"/>
          <w:cantSplit/>
        </w:trPr>
        <w:tc>
          <w:tcPr>
            <w:tcW w:type="dxa" w:w="223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Proposition</w:t>
            </w:r>
          </w:p>
        </w:tc>
        <w:tc>
          <w:tcPr>
            <w:tcW w:type="dxa" w:w="7848"/>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Testable statement</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P1. Nomothetic-person boundary</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group-level model may orient inquiry but will not reliably authorize person-level Purpose interpretation unless group and person processes have been shown to align.</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P2. Behavioral non-identifiability</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The same behavior can arise from different motive structures, and the same persistent orientation can appear through different behaviors and roles.</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P3. Longitudinal persistence</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Purpose hypothesis becomes more credible when a concern recurs across changing forms and Situations, but recurrence alone never proves Purpose.</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P4. Mediated expression</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Purpose, if it functions as proposed, influences behavior through motive structure, values, identity, developmental history, perceived incentives, Situation, and regulation rather than through direct causation.</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P5. Protective continuity</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Once-adaptive forms may persist after fit declines because they carry safety, identity, belonging, predictability, or prior success.</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P6. Nonmoral persistence</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Persistence and felt purposefulness do not establish generativity, morality, health, or social worth; content and consequence must be assessed separately.</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P7. Purpose-Flexibility</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More generative expression will be associated with greater context sensitivity, a broader repertoire of forms, responsiveness to feedback, and the ability to release exhausted means.</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P8. Regulatory practice</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ARIA(H) and N4 may improve the fit of Purpose expression by increasing noticing, Relation, context sensitivity, repertoire, and feedback use. This requires direct comparison with credible alternatives.</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P9. Human authority</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 model may become more accurate about a person without becoming authoritative over the person. Predictive confidence will not justify automated Purpose declaration or consequential action.</w:t>
            </w:r>
          </w:p>
        </w:tc>
      </w:tr>
    </w:tbl>
    <w:p>
      <w:pPr>
        <w:spacing w:after="0"/>
      </w:pPr>
    </w:p>
    <w:p>
      <w:pPr>
        <w:pStyle w:val="Heading1"/>
        <w:keepNext/>
      </w:pPr>
      <w:r>
        <w:rPr>
          <w:rFonts w:ascii="Inter" w:hAnsi="Inter" w:eastAsia="Inter"/>
        </w:rPr>
        <w:t>12. Research Program and Falsification</w:t>
      </w:r>
    </w:p>
    <w:p>
      <w:pPr>
        <w:pStyle w:val="BodyText"/>
        <w:keepLines w:val="0"/>
      </w:pPr>
      <w:r>
        <w:rPr>
          <w:rFonts w:ascii="Inter" w:hAnsi="Inter" w:eastAsia="Inter"/>
        </w:rPr>
        <w:t>The EAM should move forward through Minimum Sufficient Research. The first aim is not to build a Purpose detector or a comprehensive assessment. It is to determine whether the proposed distinctions can be observed reliably, add explanatory value beyond established constructs, and improve fitted action without taking authority from the person.</w:t>
      </w:r>
    </w:p>
    <w:p>
      <w:pPr>
        <w:pStyle w:val="Heading2"/>
        <w:keepNext/>
      </w:pPr>
      <w:r>
        <w:rPr>
          <w:rFonts w:ascii="Inter" w:hAnsi="Inter" w:eastAsia="Inter"/>
        </w:rPr>
        <w:t>12.1 Phase One: Construct adjudication</w:t>
      </w:r>
    </w:p>
    <w:p>
      <w:pPr>
        <w:pStyle w:val="BodyText"/>
        <w:keepLines w:val="0"/>
      </w:pPr>
      <w:r>
        <w:rPr>
          <w:rFonts w:ascii="Inter" w:hAnsi="Inter" w:eastAsia="Inter"/>
        </w:rPr>
        <w:t>The first phase should compare the LeadU constructs with established research definitions. Interviews with purpose scholars, personality and motivation researchers, developmentalists, methodologists, and practitioners should address whether Purpose as persistence is distinct from central life aim, identity, values, goals, generativity, narrative coherence, implicit motive configuration, and reinforcement history. The aim is not agreement. It is to identify where the EAM adds a necessary distinction, where it renames an existing construct, and where it creates explanatory surplus without evidence.</w:t>
      </w:r>
    </w:p>
    <w:p>
      <w:pPr>
        <w:pStyle w:val="BodyText"/>
        <w:keepLines w:val="0"/>
      </w:pPr>
      <w:r>
        <w:rPr>
          <w:rFonts w:ascii="Inter" w:hAnsi="Inter" w:eastAsia="Inter"/>
        </w:rPr>
        <w:t>This phase should produce a construct map, a contradiction register, and explicit exclusion rules. It should also develop coding definitions for Generator, Protector, Moderator, Purpose-Mask, Purpose-Flexibility, density, frequency, rhythm, persistence, generative expression, and degenerative expression. Independent coders should test whether these categories can be applied to narrative and behavioral material with acceptable agreement. If they cannot, the architecture must be revised before quantitative measurement begins.</w:t>
      </w:r>
    </w:p>
    <w:p>
      <w:pPr>
        <w:pStyle w:val="Heading2"/>
        <w:keepNext/>
      </w:pPr>
      <w:r>
        <w:rPr>
          <w:rFonts w:ascii="Inter" w:hAnsi="Inter" w:eastAsia="Inter"/>
        </w:rPr>
        <w:t>12.2 Phase Two: Longitudinal qualitative evidence</w:t>
      </w:r>
    </w:p>
    <w:p>
      <w:pPr>
        <w:pStyle w:val="BodyText"/>
        <w:keepLines w:val="0"/>
      </w:pPr>
      <w:r>
        <w:rPr>
          <w:rFonts w:ascii="Inter" w:hAnsi="Inter" w:eastAsia="Inter"/>
        </w:rPr>
        <w:t>A bounded sample of adults should assemble life evidence across several developmental periods: contemporaneous writing, major choices, role transitions, recurring conflicts, energy patterns, satisfactions, losses, and important relationships. Semi-structured interviews should distinguish what was experienced then from what is interpreted now. Researchers and participants should generate multiple competing explanations for each recurrent theme and identify disconfirming cases, not only confirming examples.</w:t>
      </w:r>
    </w:p>
    <w:p>
      <w:pPr>
        <w:pStyle w:val="BodyText"/>
        <w:keepLines w:val="0"/>
      </w:pPr>
      <w:r>
        <w:rPr>
          <w:rFonts w:ascii="Inter" w:hAnsi="Inter" w:eastAsia="Inter"/>
        </w:rPr>
        <w:t>The analytic question is whether a candidate orientation can be traced across changing forms without being reduced to the most visible behavior. The design should record where continuity disappears, where a proposed theme is better explained by habit or social role, and where the participant rejects the researcher's interpretation. Earlier self remains evidence, not authority. Current narrative remains interpretation, not proof.</w:t>
      </w:r>
    </w:p>
    <w:p>
      <w:pPr>
        <w:pStyle w:val="Heading2"/>
        <w:keepNext/>
      </w:pPr>
      <w:r>
        <w:rPr>
          <w:rFonts w:ascii="Inter" w:hAnsi="Inter" w:eastAsia="Inter"/>
        </w:rPr>
        <w:t>12.3 Phase Three: Intensive longitudinal measurement</w:t>
      </w:r>
    </w:p>
    <w:p>
      <w:pPr>
        <w:pStyle w:val="BodyText"/>
        <w:keepLines w:val="0"/>
      </w:pPr>
      <w:r>
        <w:rPr>
          <w:rFonts w:ascii="Inter" w:hAnsi="Inter" w:eastAsia="Inter"/>
        </w:rPr>
        <w:t>The strongest empirical test will require repeated measures within persons. Ecological momentary assessment is suited to capturing experiences and behavior in real time or near real time while reducing retrospective distortion (Shiffman, Stone, &amp; Hufford, 2008). A practical design could follow participants for ninety to one hundred eighty days, combining brief prompts several times per day with weekly narrative reviews and event-triggered entries during high-stakes decisions, conflict, strong activation, or meaningful contribution.</w:t>
      </w:r>
    </w:p>
    <w:p>
      <w:pPr>
        <w:pStyle w:val="BodyText"/>
        <w:keepLines w:val="0"/>
      </w:pPr>
      <w:r>
        <w:rPr>
          <w:rFonts w:ascii="Inter" w:hAnsi="Inter" w:eastAsia="Inter"/>
        </w:rPr>
        <w:t>Momentary measures should include current activity, Situation, motive activation, value salience, identity threat, perceived stakes, affect, attention, felt purposefulness, available energy, perceived fit, regulatory strategy, social relation, chosen action, and immediate consequence. Weekly reviews should examine recurring concerns, form changes, compensatory load, feedback accepted or rejected, and alternative explanations. Monthly interviews should test whether the participant recognizes continuity across the data or sees the proposed relation differently.</w:t>
      </w:r>
    </w:p>
    <w:p>
      <w:pPr>
        <w:pStyle w:val="BodyText"/>
        <w:keepLines w:val="0"/>
      </w:pPr>
      <w:r>
        <w:rPr>
          <w:rFonts w:ascii="Inter" w:hAnsi="Inter" w:eastAsia="Inter"/>
        </w:rPr>
        <w:t>Analysis should separate between-person from within-person relations. Person-specific dynamic models, recurrence analysis, lagged time-series models, sequence analysis, and multilevel models can be compared. A decisive test is whether person-specific models predict expression, fit, or consequence better than population-average models and whether the proposed Purpose variables add incremental value beyond traits, goals, values, identity, and affect.</w:t>
      </w:r>
    </w:p>
    <w:p>
      <w:pPr>
        <w:pStyle w:val="Heading2"/>
        <w:keepNext/>
      </w:pPr>
      <w:r>
        <w:rPr>
          <w:rFonts w:ascii="Inter" w:hAnsi="Inter" w:eastAsia="Inter"/>
        </w:rPr>
        <w:t>12.4 Phase Four: Bounded intervention studies</w:t>
      </w:r>
    </w:p>
    <w:p>
      <w:pPr>
        <w:pStyle w:val="BodyText"/>
        <w:keepLines w:val="0"/>
      </w:pPr>
      <w:r>
        <w:rPr>
          <w:rFonts w:ascii="Inter" w:hAnsi="Inter" w:eastAsia="Inter"/>
        </w:rPr>
        <w:t>Only after the constructs show sufficient reliability should ARIA(H) and N4 be tested as interventions. A multiple-baseline design or randomized micro-intervention could compare an ARIA(H)-N4 prompt with neutral reflection, ordinary goal review, or another credible self-regulation practice. Outcomes should include context sensitivity, number and quality of alternative forms generated, response to disconfirming feedback, fit with Situation, action quality, compensatory effort, recovery, relationship consequence, and participant-rated authorship.</w:t>
      </w:r>
    </w:p>
    <w:p>
      <w:pPr>
        <w:pStyle w:val="BodyText"/>
        <w:keepLines w:val="0"/>
      </w:pPr>
      <w:r>
        <w:rPr>
          <w:rFonts w:ascii="Inter" w:hAnsi="Inter" w:eastAsia="Inter"/>
        </w:rPr>
        <w:t>The intervention should not reward a particular Purpose conclusion. It should reward better inquiry. A successful intervention would increase the person's ability to notice and test expression without increasing researcher or AI authority. A null result would be informative. It may show that ARIA(H) and N4 add no value beyond ordinary reflection, that the measures are insufficient, or that the Purpose architecture is unnecessary for the observed improvement.</w:t>
      </w:r>
    </w:p>
    <w:p>
      <w:pPr>
        <w:pStyle w:val="Heading2"/>
        <w:keepNext/>
      </w:pPr>
      <w:r>
        <w:rPr>
          <w:rFonts w:ascii="Inter" w:hAnsi="Inter" w:eastAsia="Inter"/>
        </w:rPr>
        <w:t>12.5 Candidate measurement matrix</w:t>
      </w:r>
    </w:p>
    <w:tbl>
      <w:tblPr>
        <w:tblW w:type="auto" w:w="0"/>
        <w:jc w:val="center"/>
        <w:tblLayout w:type="fixed"/>
        <w:tblLook w:firstColumn="1" w:firstRow="1" w:lastColumn="0" w:lastRow="0" w:noHBand="0" w:noVBand="1" w:val="04A0"/>
      </w:tblPr>
      <w:tblGrid>
        <w:gridCol w:w="2513"/>
        <w:gridCol w:w="2513"/>
        <w:gridCol w:w="2513"/>
        <w:gridCol w:w="2513"/>
      </w:tblGrid>
      <w:tr>
        <w:trPr>
          <w:tblHeader w:val="true"/>
          <w:cantSplit/>
        </w:trPr>
        <w:tc>
          <w:tcPr>
            <w:tcW w:type="dxa" w:w="165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5"/>
              </w:rPr>
              <w:t>Construct</w:t>
            </w:r>
          </w:p>
        </w:tc>
        <w:tc>
          <w:tcPr>
            <w:tcW w:type="dxa" w:w="309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5"/>
              </w:rPr>
              <w:t>What to capture</w:t>
            </w:r>
          </w:p>
        </w:tc>
        <w:tc>
          <w:tcPr>
            <w:tcW w:type="dxa" w:w="324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5"/>
              </w:rPr>
              <w:t>Candidate methods</w:t>
            </w:r>
          </w:p>
        </w:tc>
        <w:tc>
          <w:tcPr>
            <w:tcW w:type="dxa" w:w="2088"/>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5"/>
              </w:rPr>
              <w:t>Primary risk</w:t>
            </w:r>
          </w:p>
        </w:tc>
      </w:tr>
      <w:tr>
        <w:trPr>
          <w:cantSplit/>
        </w:trPr>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Purpose hypothesis</w:t>
            </w:r>
          </w:p>
        </w:tc>
        <w:tc>
          <w:tcPr>
            <w:tcW w:type="dxa" w:w="30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Participant-generated statement of what may persist; confidence and alternatives.</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Longitudinal thematic recurrence; participant revision; disconfirming evidence.</w:t>
            </w:r>
          </w:p>
        </w:tc>
        <w:tc>
          <w:tcPr>
            <w:tcW w:type="dxa" w:w="208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Narrative coherence mistaken for truth.</w:t>
            </w:r>
          </w:p>
        </w:tc>
      </w:tr>
      <w:tr>
        <w:trPr>
          <w:cantSplit/>
        </w:trPr>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Motive structure</w:t>
            </w:r>
          </w:p>
        </w:tc>
        <w:tc>
          <w:tcPr>
            <w:tcW w:type="dxa" w:w="309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Implicit and self-attributed motives; goals; incentives; identity commitments.</w:t>
            </w:r>
          </w:p>
        </w:tc>
        <w:tc>
          <w:tcPr>
            <w:tcW w:type="dxa" w:w="324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Validated motive methods where appropriate; diary ratings; interview coding.</w:t>
            </w:r>
          </w:p>
        </w:tc>
        <w:tc>
          <w:tcPr>
            <w:tcW w:type="dxa" w:w="208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Treating a motive score as Purpose.</w:t>
            </w:r>
          </w:p>
        </w:tc>
      </w:tr>
      <w:tr>
        <w:trPr>
          <w:cantSplit/>
        </w:trPr>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Values</w:t>
            </w:r>
          </w:p>
        </w:tc>
        <w:tc>
          <w:tcPr>
            <w:tcW w:type="dxa" w:w="30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Salience, conflict, priority, and enacted trade-offs.</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Validated value measures; experience sampling; choice-consequence records.</w:t>
            </w:r>
          </w:p>
        </w:tc>
        <w:tc>
          <w:tcPr>
            <w:tcW w:type="dxa" w:w="208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Assuming declared values predict behavior uniformly.</w:t>
            </w:r>
          </w:p>
        </w:tc>
      </w:tr>
      <w:tr>
        <w:trPr>
          <w:cantSplit/>
        </w:trPr>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Protector</w:t>
            </w:r>
          </w:p>
        </w:tc>
        <w:tc>
          <w:tcPr>
            <w:tcW w:type="dxa" w:w="309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Identity threat, safety needs, continuity demands, feedback filtering.</w:t>
            </w:r>
          </w:p>
        </w:tc>
        <w:tc>
          <w:tcPr>
            <w:tcW w:type="dxa" w:w="324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Threat ratings; defensive reasoning indicators; self-verification patterns.</w:t>
            </w:r>
          </w:p>
        </w:tc>
        <w:tc>
          <w:tcPr>
            <w:tcW w:type="dxa" w:w="208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Pathologizing normal continuity protection.</w:t>
            </w:r>
          </w:p>
        </w:tc>
      </w:tr>
      <w:tr>
        <w:trPr>
          <w:cantSplit/>
        </w:trPr>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Moderator</w:t>
            </w:r>
          </w:p>
        </w:tc>
        <w:tc>
          <w:tcPr>
            <w:tcW w:type="dxa" w:w="30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Context sensitivity, repertoire, feedback responsiveness, pacing.</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Regulatory flexibility measures; behavioral alternatives; lagged adaptation.</w:t>
            </w:r>
          </w:p>
        </w:tc>
        <w:tc>
          <w:tcPr>
            <w:tcW w:type="dxa" w:w="208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Equating calmness or compliance with moderation.</w:t>
            </w:r>
          </w:p>
        </w:tc>
      </w:tr>
      <w:tr>
        <w:trPr>
          <w:cantSplit/>
        </w:trPr>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Expression quality</w:t>
            </w:r>
          </w:p>
        </w:tc>
        <w:tc>
          <w:tcPr>
            <w:tcW w:type="dxa" w:w="309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Fit, generativity, compensation, consequence, authorship.</w:t>
            </w:r>
          </w:p>
        </w:tc>
        <w:tc>
          <w:tcPr>
            <w:tcW w:type="dxa" w:w="324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Multi-source ratings; behavioral evidence; energy and recovery; relational outcome.</w:t>
            </w:r>
          </w:p>
        </w:tc>
        <w:tc>
          <w:tcPr>
            <w:tcW w:type="dxa" w:w="208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Using success alone as validation.</w:t>
            </w:r>
          </w:p>
        </w:tc>
      </w:tr>
      <w:tr>
        <w:trPr>
          <w:cantSplit/>
        </w:trPr>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Density, frequency, rhythm</w:t>
            </w:r>
          </w:p>
        </w:tc>
        <w:tc>
          <w:tcPr>
            <w:tcW w:type="dxa" w:w="309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Concentration, recurrence, timing, sequencing, and recovery.</w:t>
            </w:r>
          </w:p>
        </w:tc>
        <w:tc>
          <w:tcPr>
            <w:tcW w:type="dxa" w:w="324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EMA counts; intensity; time-series features; burst and lag patterns.</w:t>
            </w:r>
          </w:p>
        </w:tc>
        <w:tc>
          <w:tcPr>
            <w:tcW w:type="dxa" w:w="208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5"/>
              </w:rPr>
              <w:t>Turning metaphors into numbers before construct validation.</w:t>
            </w:r>
          </w:p>
        </w:tc>
      </w:tr>
    </w:tbl>
    <w:p>
      <w:pPr>
        <w:spacing w:after="0"/>
      </w:pPr>
    </w:p>
    <w:p>
      <w:pPr>
        <w:pStyle w:val="Heading2"/>
        <w:keepNext/>
      </w:pPr>
      <w:r>
        <w:rPr>
          <w:rFonts w:ascii="Inter" w:hAnsi="Inter" w:eastAsia="Inter"/>
        </w:rPr>
        <w:t>12.6 Falsification and stopping rules</w:t>
      </w:r>
    </w:p>
    <w:p>
      <w:pPr>
        <w:pStyle w:val="BodyText"/>
        <w:keepLines w:val="0"/>
      </w:pPr>
      <w:r>
        <w:rPr>
          <w:rFonts w:ascii="Inter" w:hAnsi="Inter" w:eastAsia="Inter"/>
        </w:rPr>
        <w:t>The architecture should be weakened, revised, or abandoned if the following conditions persist across credible studies: proposed Purpose themes do not show recurrence beyond chance or narrative reconstruction; simpler constructs such as goals, identity, traits, or reinforcement explain the same evidence equally well; Generator, Protector, and Moderator cannot be coded reliably; density, frequency, rhythm, and persistence do not separate empirically; ARIA(H) and N4 show no incremental value; person-specific models do not outperform population models for person-level prediction; or the architecture increases interpretive certainty without improving fit, consequence, or authorship.</w:t>
      </w:r>
    </w:p>
    <w:p>
      <w:pPr>
        <w:pStyle w:val="BodyText"/>
        <w:keepLines w:val="0"/>
      </w:pPr>
      <w:r>
        <w:rPr>
          <w:rFonts w:ascii="Inter" w:hAnsi="Inter" w:eastAsia="Inter"/>
        </w:rPr>
        <w:t>A further stopping rule is ethical. If participants experience the model as coercive, identity-defining, or difficult to contest, the research design has violated the architecture even if prediction improves. Accuracy is not sufficient. Human authority protection is part of the outcome, not a limitation added after the study.</w:t>
      </w:r>
    </w:p>
    <w:p>
      <w:pPr>
        <w:pStyle w:val="Heading1"/>
        <w:keepNext/>
      </w:pPr>
      <w:r>
        <w:rPr>
          <w:rFonts w:ascii="Inter" w:hAnsi="Inter" w:eastAsia="Inter"/>
        </w:rPr>
        <w:t>13. Implications for ON PURPOSE and HIA</w:t>
      </w:r>
    </w:p>
    <w:p>
      <w:pPr>
        <w:pStyle w:val="Heading2"/>
        <w:keepNext/>
      </w:pPr>
      <w:r>
        <w:rPr>
          <w:rFonts w:ascii="Inter" w:hAnsi="Inter" w:eastAsia="Inter"/>
        </w:rPr>
        <w:t>13.1 Implications for the ON PURPOSE reader movement</w:t>
      </w:r>
    </w:p>
    <w:p>
      <w:pPr>
        <w:pStyle w:val="BodyText"/>
        <w:keepLines w:val="0"/>
      </w:pPr>
      <w:r>
        <w:rPr>
          <w:rFonts w:ascii="Inter" w:hAnsi="Inter" w:eastAsia="Inter"/>
        </w:rPr>
        <w:t>The paper strengthens the existing ON PURPOSE movement without requiring a new spine. Not Enough and Enough? can show that conventional success and felt sufficiency do not settle what is organizing the person. What Has You? can examine a successful behavior or identity as a possible Purpose-Mask without calling it false. What Persists? can introduce longitudinal evidence and competing explanations. What Changes? can give form, role, expression, and Situation equal standing with continuity. What Matters Now? can bring Self × Situation into present judgment. RightACTION can become an evidence-governed experiment rather than a final declaration. Go Slow to Go Far and Look Again can return consequence as information and preserve the recurring practice of revision.</w:t>
      </w:r>
    </w:p>
    <w:p>
      <w:pPr>
        <w:pStyle w:val="BodyText"/>
        <w:keepLines w:val="0"/>
      </w:pPr>
      <w:r>
        <w:rPr>
          <w:rFonts w:ascii="Inter" w:hAnsi="Inter" w:eastAsia="Inter"/>
        </w:rPr>
        <w:t>The EAM also helps explain why individual differences belong near the center of the book rather than in a personalization appendix. Purpose does not move through an average human. It moves, if the proposition is correct, through this person's proclivities and tendencies, motive structure, values, developmental history, adaptive forms, social responses, relationships, and current Situation. A general model may help the reader recognize the orchestra. It cannot assume it knows what is conducting this person.</w:t>
      </w:r>
    </w:p>
    <w:p>
      <w:pPr>
        <w:pStyle w:val="Heading2"/>
        <w:keepNext/>
      </w:pPr>
      <w:r>
        <w:rPr>
          <w:rFonts w:ascii="Inter" w:hAnsi="Inter" w:eastAsia="Inter"/>
        </w:rPr>
        <w:t>13.2 Implications for assessment and MySKP</w:t>
      </w:r>
    </w:p>
    <w:p>
      <w:pPr>
        <w:pStyle w:val="BodyText"/>
        <w:keepLines w:val="0"/>
      </w:pPr>
      <w:r>
        <w:rPr>
          <w:rFonts w:ascii="Inter" w:hAnsi="Inter" w:eastAsia="Inter"/>
        </w:rPr>
        <w:t>Assessment can provide language for Self, reveal tendencies, preserve longitudinal evidence, and make patterns easier to notice. It cannot detect Purpose or settle the meaning of a behavior. MySKP may support the research program as a person-owned evidence portfolio, provided that assessment results remain maps, contradictory evidence is preserved, and the participant can revise or reject every interpretation. The architecture should become more capable of recognizing a person without becoming more confident that it contains the person.</w:t>
      </w:r>
    </w:p>
    <w:p>
      <w:pPr>
        <w:pStyle w:val="Heading2"/>
        <w:keepNext/>
      </w:pPr>
      <w:r>
        <w:rPr>
          <w:rFonts w:ascii="Inter" w:hAnsi="Inter" w:eastAsia="Inter"/>
        </w:rPr>
        <w:t>13.3 Implications for AI and HIA</w:t>
      </w:r>
    </w:p>
    <w:p>
      <w:pPr>
        <w:pStyle w:val="BodyText"/>
        <w:keepLines w:val="0"/>
      </w:pPr>
      <w:r>
        <w:rPr>
          <w:rFonts w:ascii="Inter" w:hAnsi="Inter" w:eastAsia="Inter"/>
        </w:rPr>
        <w:t>AI can assist with retrieval, temporal comparison, pattern nomination, alternative explanation, contradiction detection, and visualization of longitudinal evidence. It is also especially capable of creating a coherent story from incomplete material. That strength becomes a risk when narrative smoothness is mistaken for Purpose discovery. An AI system may become increasingly accurate about the person without becoming authoritative over the person.</w:t>
      </w:r>
    </w:p>
    <w:p>
      <w:pPr>
        <w:pStyle w:val="BodyText"/>
        <w:keepLines w:val="0"/>
      </w:pPr>
      <w:r>
        <w:rPr>
          <w:rFonts w:ascii="Inter" w:hAnsi="Inter" w:eastAsia="Inter"/>
        </w:rPr>
        <w:t>HIA therefore governs the use of the model. AI may propose patterns, estimate uncertainty, compare person-specific and population models, and ask bounded questions. It may not declare Purpose, close identity inquiry, prescribe consequential action without human gates, or treat repeated behavior as proof. Evidence, role, consent, correction, recourse, and authority must remain explicit. Distribution of capability is not distribution of authority and is not distribution of governance.</w:t>
      </w:r>
    </w:p>
    <w:p>
      <w:pPr>
        <w:pStyle w:val="Heading2"/>
        <w:keepNext/>
      </w:pPr>
      <w:r>
        <w:rPr>
          <w:rFonts w:ascii="Inter" w:hAnsi="Inter" w:eastAsia="Inter"/>
        </w:rPr>
        <w:t>13.4 Publication role</w:t>
      </w:r>
    </w:p>
    <w:p>
      <w:pPr>
        <w:pStyle w:val="BodyText"/>
        <w:keepLines w:val="0"/>
      </w:pPr>
      <w:r>
        <w:rPr>
          <w:rFonts w:ascii="Inter" w:hAnsi="Inter" w:eastAsia="Inter"/>
        </w:rPr>
        <w:t>This paper should function as a governed research and design source for ON PURPOSE rather than as reader-facing manuscript copy. The book needs the human movement of the inquiry, not the full research apparatus. The paper can support notes, clarify distinctions, inform chapter architecture, and protect claims from overreach. It should not cause the manuscript to become a theory catalog or to introduce the Generator, Protector, and Moderator as settled science.</w:t>
      </w:r>
    </w:p>
    <w:p>
      <w:pPr>
        <w:pStyle w:val="Heading1"/>
        <w:keepNext/>
      </w:pPr>
      <w:r>
        <w:rPr>
          <w:rFonts w:ascii="Inter" w:hAnsi="Inter" w:eastAsia="Inter"/>
        </w:rPr>
        <w:t>14. Limitations and Counterpositions</w:t>
      </w:r>
    </w:p>
    <w:p>
      <w:pPr>
        <w:pStyle w:val="Heading2"/>
        <w:keepNext/>
      </w:pPr>
      <w:r>
        <w:rPr>
          <w:rFonts w:ascii="Inter" w:hAnsi="Inter" w:eastAsia="Inter"/>
        </w:rPr>
        <w:t>14.1 Purpose may be plural</w:t>
      </w:r>
    </w:p>
    <w:p>
      <w:pPr>
        <w:pStyle w:val="BodyText"/>
        <w:keepLines w:val="0"/>
      </w:pPr>
      <w:r>
        <w:rPr>
          <w:rFonts w:ascii="Inter" w:hAnsi="Inter" w:eastAsia="Inter"/>
        </w:rPr>
        <w:t>The EAM often speaks of Purpose in the singular. Human lives may instead contain several persistent orientations that cooperate, compete, or become salient in different domains. A single-orchestrator model could oversimplify a heterarchical system. Research should therefore compare singular, plural, nested, and domain-specific models rather than assume one true Purpose.</w:t>
      </w:r>
    </w:p>
    <w:p>
      <w:pPr>
        <w:pStyle w:val="Heading2"/>
        <w:keepNext/>
      </w:pPr>
      <w:r>
        <w:rPr>
          <w:rFonts w:ascii="Inter" w:hAnsi="Inter" w:eastAsia="Inter"/>
        </w:rPr>
        <w:t>14.2 Persistence may be explained without Purpose</w:t>
      </w:r>
    </w:p>
    <w:p>
      <w:pPr>
        <w:pStyle w:val="BodyText"/>
        <w:keepLines w:val="0"/>
      </w:pPr>
      <w:r>
        <w:rPr>
          <w:rFonts w:ascii="Inter" w:hAnsi="Inter" w:eastAsia="Inter"/>
        </w:rPr>
        <w:t>A recurrent pattern may be adequately explained by temperament, reinforcement, habit, social position, attachment, trauma adaptation, identity, values, or stable environmental demands. Purpose may add no incremental explanatory value. The architecture earns its place only if it improves prediction, inquiry, developmental leverage, or fitted action beyond these alternatives while preserving human authority.</w:t>
      </w:r>
    </w:p>
    <w:p>
      <w:pPr>
        <w:pStyle w:val="Heading2"/>
        <w:keepNext/>
      </w:pPr>
      <w:r>
        <w:rPr>
          <w:rFonts w:ascii="Inter" w:hAnsi="Inter" w:eastAsia="Inter"/>
        </w:rPr>
        <w:t>14.3 Retrospective coherence can manufacture continuity</w:t>
      </w:r>
    </w:p>
    <w:p>
      <w:pPr>
        <w:pStyle w:val="BodyText"/>
        <w:keepLines w:val="0"/>
      </w:pPr>
      <w:r>
        <w:rPr>
          <w:rFonts w:ascii="Inter" w:hAnsi="Inter" w:eastAsia="Inter"/>
        </w:rPr>
        <w:t>People and researchers are skilled at finding a thread after the fact. Selective memory, survivorship, current identity, and narrative preference can make discontinuous lives appear purposefully continuous. Contemporaneous records, disconfirming cases, blinded coding, and repeated prospective measurement are needed to reduce this bias. Even then, the result will remain an interpretation of a life, not the life itself.</w:t>
      </w:r>
    </w:p>
    <w:p>
      <w:pPr>
        <w:pStyle w:val="Heading2"/>
        <w:keepNext/>
      </w:pPr>
      <w:r>
        <w:rPr>
          <w:rFonts w:ascii="Inter" w:hAnsi="Inter" w:eastAsia="Inter"/>
        </w:rPr>
        <w:t>14.4 The orchestration metaphor can hide causality</w:t>
      </w:r>
    </w:p>
    <w:p>
      <w:pPr>
        <w:pStyle w:val="BodyText"/>
        <w:keepLines w:val="0"/>
      </w:pPr>
      <w:r>
        <w:rPr>
          <w:rFonts w:ascii="Inter" w:hAnsi="Inter" w:eastAsia="Inter"/>
        </w:rPr>
        <w:t>Orchestra language is useful because it preserves relation, timing, coordination, and multiple instruments. It can also imply a conductor where none exists, attribute unity to distributed processes, or hide the causal work inside metaphor. The research program must translate each proposed relation into observable variables and competing models. Where the metaphor cannot be operationalized, it should remain literary rather than scientific.</w:t>
      </w:r>
    </w:p>
    <w:p>
      <w:pPr>
        <w:pStyle w:val="Heading2"/>
        <w:keepNext/>
      </w:pPr>
      <w:r>
        <w:rPr>
          <w:rFonts w:ascii="Inter" w:hAnsi="Inter" w:eastAsia="Inter"/>
        </w:rPr>
        <w:t>14.5 Moral and cultural plurality</w:t>
      </w:r>
    </w:p>
    <w:p>
      <w:pPr>
        <w:pStyle w:val="BodyText"/>
        <w:keepLines w:val="0"/>
      </w:pPr>
      <w:r>
        <w:rPr>
          <w:rFonts w:ascii="Inter" w:hAnsi="Inter" w:eastAsia="Inter"/>
        </w:rPr>
        <w:t>Purpose definitions and judgments of generativity are culturally situated. A form interpreted as independence in one culture may be read as disconnection in another. A purpose judged worthy by a researcher may not be experienced that way by the person or community. The model therefore requires diverse samples, culturally informed interpretation, multi-perspective consequence data, and explicit separation of descriptive persistence from moral evaluation.</w:t>
      </w:r>
    </w:p>
    <w:p>
      <w:pPr>
        <w:pStyle w:val="Heading2"/>
        <w:keepNext/>
      </w:pPr>
      <w:r>
        <w:rPr>
          <w:rFonts w:ascii="Inter" w:hAnsi="Inter" w:eastAsia="Inter"/>
        </w:rPr>
        <w:t>14.6 Clinical boundary</w:t>
      </w:r>
    </w:p>
    <w:p>
      <w:pPr>
        <w:pStyle w:val="BodyText"/>
        <w:keepLines w:val="0"/>
      </w:pPr>
      <w:r>
        <w:rPr>
          <w:rFonts w:ascii="Inter" w:hAnsi="Inter" w:eastAsia="Inter"/>
        </w:rPr>
        <w:t>The EAM is not a clinical model. Generator, Protector, Moderator, Purpose-Mask, density, frequency, and rhythm should not be used to diagnose mental disorder, explain trauma, or replace qualified clinical assessment. The language may support developmental inquiry, but clinical use would require separate evidence, professional scope, informed consent, and safety controls.</w:t>
      </w:r>
    </w:p>
    <w:p>
      <w:pPr>
        <w:pStyle w:val="Heading1"/>
        <w:keepNext/>
      </w:pPr>
      <w:r>
        <w:rPr>
          <w:rFonts w:ascii="Inter" w:hAnsi="Inter" w:eastAsia="Inter"/>
        </w:rPr>
        <w:t>Conclusion</w:t>
      </w:r>
    </w:p>
    <w:p>
      <w:pPr>
        <w:pStyle w:val="BodyText"/>
        <w:keepLines w:val="0"/>
      </w:pPr>
      <w:r>
        <w:rPr>
          <w:rFonts w:ascii="Inter" w:hAnsi="Inter" w:eastAsia="Inter"/>
        </w:rPr>
        <w:t>The EAM began with a simple observation: any model of human reality that ignores individual differences is set up to fail when it is asked to explain the person. Research strongly supports that caution. Group averages and person-specific processes are not automatically interchangeable. People also show a consequential combination of stable differences and variable expression across Situations.</w:t>
      </w:r>
    </w:p>
    <w:p>
      <w:pPr>
        <w:pStyle w:val="BodyText"/>
        <w:keepLines w:val="0"/>
      </w:pPr>
      <w:r>
        <w:rPr>
          <w:rFonts w:ascii="Inter" w:hAnsi="Inter" w:eastAsia="Inter"/>
        </w:rPr>
        <w:t>Purpose research supports a second part of the emerging architecture. Purpose can function as an organizing life aim, purpose-related measures carry consequential associations, daily purposefulness varies, and purpose content must be understood in relation to ecological fit. Motivation, value, goal, identity, and regulation research further supports a mediated, recursive account of behavior. Protective continuity can preserve successful forms. Regulatory flexibility can help people change strategy in response to context and feedback.</w:t>
      </w:r>
    </w:p>
    <w:p>
      <w:pPr>
        <w:pStyle w:val="BodyText"/>
        <w:keepLines w:val="0"/>
      </w:pPr>
      <w:r>
        <w:rPr>
          <w:rFonts w:ascii="Inter" w:hAnsi="Inter" w:eastAsia="Inter"/>
        </w:rPr>
        <w:t>The full LeadU proposition remains open. Purpose may be the persistent orientation through which the Generator, Protector, and Moderator are orchestrated, while motive structure governs expression and values play instruments within the relation. The same Purpose may become generative or degenerative through changing forms, sometimes before the person notices that fit has been lost. That is a coherent, consequential, and testable architecture. It is not yet an established mechanism.</w:t>
      </w:r>
    </w:p>
    <w:p>
      <w:pPr>
        <w:pStyle w:val="BodyText"/>
        <w:keepLines w:val="0"/>
      </w:pPr>
      <w:r>
        <w:rPr>
          <w:rFonts w:ascii="Inter" w:hAnsi="Inter" w:eastAsia="Inter"/>
        </w:rPr>
        <w:t>The next responsible move is therefore neither to canonize the EAM nor to reduce it to an inspiring claim. It is to study the relation longitudinally, person by person, under changing conditions, with alternatives and counterevidence intact. The model should help the person notice more without claiming to know the person better than the person can know themselves. Reality must remain the correction surface. Human authority over meaning, Purpose, and RightACTION must remain protected.</w:t>
      </w:r>
    </w:p>
    <w:p>
      <w:pPr>
        <w:pStyle w:val="Heading1"/>
        <w:keepNext/>
      </w:pPr>
      <w:r>
        <w:rPr>
          <w:rFonts w:ascii="Inter" w:hAnsi="Inter" w:eastAsia="Inter"/>
        </w:rPr>
        <w:t>Appendix A. Evidence-to-Architecture Matrix</w:t>
      </w:r>
    </w:p>
    <w:tbl>
      <w:tblPr>
        <w:tblW w:type="auto" w:w="0"/>
        <w:jc w:val="center"/>
        <w:tblLayout w:type="fixed"/>
        <w:tblLook w:firstColumn="1" w:firstRow="1" w:lastColumn="0" w:lastRow="0" w:noHBand="0" w:noVBand="1" w:val="04A0"/>
      </w:tblPr>
      <w:tblGrid>
        <w:gridCol w:w="2010"/>
        <w:gridCol w:w="2010"/>
        <w:gridCol w:w="2010"/>
        <w:gridCol w:w="2010"/>
        <w:gridCol w:w="2010"/>
      </w:tblGrid>
      <w:tr>
        <w:trPr>
          <w:tblHeader w:val="true"/>
          <w:cantSplit/>
        </w:trPr>
        <w:tc>
          <w:tcPr>
            <w:tcW w:type="dxa" w:w="1728"/>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4"/>
              </w:rPr>
              <w:t>Relation</w:t>
            </w:r>
          </w:p>
        </w:tc>
        <w:tc>
          <w:tcPr>
            <w:tcW w:type="dxa" w:w="151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4"/>
              </w:rPr>
              <w:t>Evidence status</w:t>
            </w:r>
          </w:p>
        </w:tc>
        <w:tc>
          <w:tcPr>
            <w:tcW w:type="dxa" w:w="230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4"/>
              </w:rPr>
              <w:t>Primary sources</w:t>
            </w:r>
          </w:p>
        </w:tc>
        <w:tc>
          <w:tcPr>
            <w:tcW w:type="dxa" w:w="2880"/>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4"/>
              </w:rPr>
              <w:t>Supported conclusion</w:t>
            </w:r>
          </w:p>
        </w:tc>
        <w:tc>
          <w:tcPr>
            <w:tcW w:type="dxa" w:w="165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4"/>
              </w:rPr>
              <w:t>Boundary</w:t>
            </w:r>
          </w:p>
        </w:tc>
      </w:tr>
      <w:tr>
        <w:trPr>
          <w:cantSplit/>
        </w:trPr>
        <w:tc>
          <w:tcPr>
            <w:tcW w:type="dxa" w:w="172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Group-to-person inference</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support</w:t>
            </w:r>
          </w:p>
        </w:tc>
        <w:tc>
          <w:tcPr>
            <w:tcW w:type="dxa" w:w="23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Molenaar, 2004; Fisher et al., 2018</w:t>
            </w:r>
          </w:p>
        </w:tc>
        <w:tc>
          <w:tcPr>
            <w:tcW w:type="dxa" w:w="28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Population regularities do not automatically describe within-person process.</w:t>
            </w:r>
          </w:p>
        </w:tc>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No person-level Purpose verdict from group data.</w:t>
            </w:r>
          </w:p>
        </w:tc>
      </w:tr>
      <w:tr>
        <w:trPr>
          <w:cantSplit/>
        </w:trPr>
        <w:tc>
          <w:tcPr>
            <w:tcW w:type="dxa" w:w="172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Stable difference plus variable expression</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support</w:t>
            </w:r>
          </w:p>
        </w:tc>
        <w:tc>
          <w:tcPr>
            <w:tcW w:type="dxa" w:w="23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Fleeson, 2001; Mischel &amp; Shoda, 1995</w:t>
            </w:r>
          </w:p>
        </w:tc>
        <w:tc>
          <w:tcPr>
            <w:tcW w:type="dxa" w:w="28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People can show stable tendencies and substantial situational variation.</w:t>
            </w:r>
          </w:p>
        </w:tc>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Purpose persistence should not be equated with behavioral sameness.</w:t>
            </w:r>
          </w:p>
        </w:tc>
      </w:tr>
      <w:tr>
        <w:trPr>
          <w:cantSplit/>
        </w:trPr>
        <w:tc>
          <w:tcPr>
            <w:tcW w:type="dxa" w:w="172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Purpose as organizing aim</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and adjacent</w:t>
            </w:r>
          </w:p>
        </w:tc>
        <w:tc>
          <w:tcPr>
            <w:tcW w:type="dxa" w:w="23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McKnight &amp; Kashdan, 2009; Kashdan et al., 2024; Damon, 2025</w:t>
            </w:r>
          </w:p>
        </w:tc>
        <w:tc>
          <w:tcPr>
            <w:tcW w:type="dxa" w:w="28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Purpose can organize goals, identity, and resource investment.</w:t>
            </w:r>
          </w:p>
        </w:tc>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Supports orientation; does not validate LeadU orchestration mechanism.</w:t>
            </w:r>
          </w:p>
        </w:tc>
      </w:tr>
      <w:tr>
        <w:trPr>
          <w:cantSplit/>
        </w:trPr>
        <w:tc>
          <w:tcPr>
            <w:tcW w:type="dxa" w:w="172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Within-person purpose variability</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support</w:t>
            </w:r>
          </w:p>
        </w:tc>
        <w:tc>
          <w:tcPr>
            <w:tcW w:type="dxa" w:w="23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Pfund et al., 2024</w:t>
            </w:r>
          </w:p>
        </w:tc>
        <w:tc>
          <w:tcPr>
            <w:tcW w:type="dxa" w:w="28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Felt purposefulness varies within persons.</w:t>
            </w:r>
          </w:p>
        </w:tc>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Separate state purposefulness from persistent Purpose hypothesis.</w:t>
            </w:r>
          </w:p>
        </w:tc>
      </w:tr>
      <w:tr>
        <w:trPr>
          <w:cantSplit/>
        </w:trPr>
        <w:tc>
          <w:tcPr>
            <w:tcW w:type="dxa" w:w="172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Purpose content and fit</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support</w:t>
            </w:r>
          </w:p>
        </w:tc>
        <w:tc>
          <w:tcPr>
            <w:tcW w:type="dxa" w:w="23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Burrow et al., 2021</w:t>
            </w:r>
          </w:p>
        </w:tc>
        <w:tc>
          <w:tcPr>
            <w:tcW w:type="dxa" w:w="28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Congruence and feasibility affect whether purpose is beneficial.</w:t>
            </w:r>
          </w:p>
        </w:tc>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Purpose strength alone cannot establish generativity.</w:t>
            </w:r>
          </w:p>
        </w:tc>
      </w:tr>
      <w:tr>
        <w:trPr>
          <w:cantSplit/>
        </w:trPr>
        <w:tc>
          <w:tcPr>
            <w:tcW w:type="dxa" w:w="172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Motive mediation</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Adjacent support</w:t>
            </w:r>
          </w:p>
        </w:tc>
        <w:tc>
          <w:tcPr>
            <w:tcW w:type="dxa" w:w="23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McClelland et al., 1989; Ryan &amp; Deci, 2000</w:t>
            </w:r>
          </w:p>
        </w:tc>
        <w:tc>
          <w:tcPr>
            <w:tcW w:type="dxa" w:w="28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Motives, incentives, needs, and conditions shape expression.</w:t>
            </w:r>
          </w:p>
        </w:tc>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Motive structure is a plausible mediator, not Purpose itself.</w:t>
            </w:r>
          </w:p>
        </w:tc>
      </w:tr>
      <w:tr>
        <w:trPr>
          <w:cantSplit/>
        </w:trPr>
        <w:tc>
          <w:tcPr>
            <w:tcW w:type="dxa" w:w="172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Multiple means and ends</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Adjacent support</w:t>
            </w:r>
          </w:p>
        </w:tc>
        <w:tc>
          <w:tcPr>
            <w:tcW w:type="dxa" w:w="23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Kruglanski et al., 2015</w:t>
            </w:r>
          </w:p>
        </w:tc>
        <w:tc>
          <w:tcPr>
            <w:tcW w:type="dxa" w:w="28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Equifinality, multifinality, and counterfinality complicate behavior inference.</w:t>
            </w:r>
          </w:p>
        </w:tc>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Same behavior may serve different relations; same orientation may have many forms.</w:t>
            </w:r>
          </w:p>
        </w:tc>
      </w:tr>
      <w:tr>
        <w:trPr>
          <w:cantSplit/>
        </w:trPr>
        <w:tc>
          <w:tcPr>
            <w:tcW w:type="dxa" w:w="172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Protective continuity</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Adjacent support</w:t>
            </w:r>
          </w:p>
        </w:tc>
        <w:tc>
          <w:tcPr>
            <w:tcW w:type="dxa" w:w="23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Kunda, 1990; Swann &amp; Read, 1981</w:t>
            </w:r>
          </w:p>
        </w:tc>
        <w:tc>
          <w:tcPr>
            <w:tcW w:type="dxa" w:w="28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Motivated reasoning and self-verification can preserve identity-consistent interpretations.</w:t>
            </w:r>
          </w:p>
        </w:tc>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Supports Protector lens; does not establish a discrete system.</w:t>
            </w:r>
          </w:p>
        </w:tc>
      </w:tr>
      <w:tr>
        <w:trPr>
          <w:cantSplit/>
        </w:trPr>
        <w:tc>
          <w:tcPr>
            <w:tcW w:type="dxa" w:w="172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Contextual regulation</w:t>
            </w:r>
          </w:p>
        </w:tc>
        <w:tc>
          <w:tcPr>
            <w:tcW w:type="dxa" w:w="151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Direct and adjacent</w:t>
            </w:r>
          </w:p>
        </w:tc>
        <w:tc>
          <w:tcPr>
            <w:tcW w:type="dxa" w:w="230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Carver &amp; Scheier, 1982; Kashdan &amp; Rottenberg, 2010; Bonanno &amp; Burton, 2013</w:t>
            </w:r>
          </w:p>
        </w:tc>
        <w:tc>
          <w:tcPr>
            <w:tcW w:type="dxa" w:w="2880"/>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Adaptive regulation depends on feedback, context, repertoire, and flexibility.</w:t>
            </w:r>
          </w:p>
        </w:tc>
        <w:tc>
          <w:tcPr>
            <w:tcW w:type="dxa" w:w="165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Supports Moderator lens and Purpose-Flexibility research.</w:t>
            </w:r>
          </w:p>
        </w:tc>
      </w:tr>
      <w:tr>
        <w:trPr>
          <w:cantSplit/>
        </w:trPr>
        <w:tc>
          <w:tcPr>
            <w:tcW w:type="dxa" w:w="172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Integrated Purpose orchestration</w:t>
            </w:r>
          </w:p>
        </w:tc>
        <w:tc>
          <w:tcPr>
            <w:tcW w:type="dxa" w:w="151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LeadU proposition</w:t>
            </w:r>
          </w:p>
        </w:tc>
        <w:tc>
          <w:tcPr>
            <w:tcW w:type="dxa" w:w="230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This EAM and internal ON PURPOSE architecture</w:t>
            </w:r>
          </w:p>
        </w:tc>
        <w:tc>
          <w:tcPr>
            <w:tcW w:type="dxa" w:w="2880"/>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No direct integrated evidence identified.</w:t>
            </w:r>
          </w:p>
        </w:tc>
        <w:tc>
          <w:tcPr>
            <w:tcW w:type="dxa" w:w="165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4"/>
              </w:rPr>
              <w:t>Requires construct adjudication, longitudinal person-specific models, and intervention tests.</w:t>
            </w:r>
          </w:p>
        </w:tc>
      </w:tr>
    </w:tbl>
    <w:p>
      <w:pPr>
        <w:spacing w:after="0"/>
      </w:pPr>
    </w:p>
    <w:p>
      <w:pPr>
        <w:pStyle w:val="Heading1"/>
        <w:keepNext/>
      </w:pPr>
      <w:r>
        <w:rPr>
          <w:rFonts w:ascii="Inter" w:hAnsi="Inter" w:eastAsia="Inter"/>
        </w:rPr>
        <w:t>Appendix B. Minimum Ethical Research Controls</w:t>
      </w:r>
    </w:p>
    <w:tbl>
      <w:tblPr>
        <w:tblW w:type="auto" w:w="0"/>
        <w:jc w:val="center"/>
        <w:tblLayout w:type="fixed"/>
        <w:tblLook w:firstColumn="1" w:firstRow="1" w:lastColumn="0" w:lastRow="0" w:noHBand="0" w:noVBand="1" w:val="04A0"/>
      </w:tblPr>
      <w:tblGrid>
        <w:gridCol w:w="5026"/>
        <w:gridCol w:w="5026"/>
      </w:tblGrid>
      <w:tr>
        <w:trPr>
          <w:tblHeader w:val="true"/>
          <w:cantSplit/>
        </w:trPr>
        <w:tc>
          <w:tcPr>
            <w:tcW w:type="dxa" w:w="2232"/>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Control</w:t>
            </w:r>
          </w:p>
        </w:tc>
        <w:tc>
          <w:tcPr>
            <w:tcW w:type="dxa" w:w="7848"/>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Requirement</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Participant authority</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Participants can reject, revise, or suspend every Purpose interpretation without penalty.</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No Purpose detector</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No score, model, or AI output is presented as discovering the person's Purpose.</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Evidence separation</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Observation, participant meaning, researcher interpretation, AI nomination, and consequence are stored distinctly.</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Consent and scope</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Data collection, longitudinal linking, AI use, secondary analysis, and publication each require explicit consent.</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Data minimization</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Collect only what the stated research question requires; protect autobiographical and relational data.</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Recourse and correction</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Participants can inspect, correct, contextualize, or withdraw person-level interpretations and data where feasible.</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No automated consequence</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No employment, clinical, financial, educational, or access decision is triggered by the model.</w:t>
            </w:r>
          </w:p>
        </w:tc>
      </w:tr>
      <w:tr>
        <w:trPr>
          <w:cantSplit/>
        </w:trPr>
        <w:tc>
          <w:tcPr>
            <w:tcW w:type="dxa" w:w="2232"/>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Independent verification</w:t>
            </w:r>
          </w:p>
        </w:tc>
        <w:tc>
          <w:tcPr>
            <w:tcW w:type="dxa" w:w="7848"/>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Claims of fit, prediction, or intervention effect require review independent of the model's designers.</w:t>
            </w:r>
          </w:p>
        </w:tc>
      </w:tr>
      <w:tr>
        <w:trPr>
          <w:cantSplit/>
        </w:trPr>
        <w:tc>
          <w:tcPr>
            <w:tcW w:type="dxa" w:w="2232"/>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Adverse-effect monitoring</w:t>
            </w:r>
          </w:p>
        </w:tc>
        <w:tc>
          <w:tcPr>
            <w:tcW w:type="dxa" w:w="7848"/>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Track coercion, identity foreclosure, distress, dependency, interpretive overconfidence, and relationship effects.</w:t>
            </w:r>
          </w:p>
        </w:tc>
      </w:tr>
    </w:tbl>
    <w:p>
      <w:pPr>
        <w:spacing w:after="0"/>
      </w:pPr>
    </w:p>
    <w:p>
      <w:pPr>
        <w:pStyle w:val="Heading1"/>
        <w:keepNext/>
      </w:pPr>
      <w:r>
        <w:rPr>
          <w:rFonts w:ascii="Inter" w:hAnsi="Inter" w:eastAsia="Inter"/>
        </w:rPr>
        <w:t>References</w:t>
      </w:r>
    </w:p>
    <w:p>
      <w:pPr>
        <w:pStyle w:val="References"/>
        <w:ind w:left="317" w:hanging="317"/>
      </w:pPr>
      <w:r>
        <w:rPr>
          <w:rFonts w:ascii="Inter" w:hAnsi="Inter" w:eastAsia="Inter"/>
        </w:rPr>
        <w:t>Bonanno, G. A., &amp; Burton, C. L. (2013). Regulatory flexibility: An individual differences perspective on coping and emotion regulation. Perspectives on Psychological Science, 8(6), 591-612.</w:t>
      </w:r>
      <w:r>
        <w:rPr>
          <w:rFonts w:ascii="Inter" w:hAnsi="Inter" w:eastAsia="Inter"/>
        </w:rPr>
        <w:t xml:space="preserve"> </w:t>
      </w:r>
      <w:hyperlink r:id="rId12">
        <w:r>
          <w:rPr>
            <w:rFonts w:ascii="Inter" w:hAnsi="Inter"/>
            <w:color w:val="24364B"/>
            <w:u w:val="single"/>
            <w:sz w:val="19"/>
          </w:rPr>
          <w:t>https://doi.org/10.1177/1745691613504116</w:t>
        </w:r>
      </w:hyperlink>
    </w:p>
    <w:p>
      <w:pPr>
        <w:pStyle w:val="References"/>
        <w:ind w:left="317" w:hanging="317"/>
      </w:pPr>
      <w:r>
        <w:rPr>
          <w:rFonts w:ascii="Inter" w:hAnsi="Inter" w:eastAsia="Inter"/>
        </w:rPr>
        <w:t>Burrow, A. L., Agans, J. P., Jeon, H. J., &amp; Creim, M. (2021). Are all purposes worth having? Integrating content and strength in purpose research. Human Development, 65(2), 100-112.</w:t>
      </w:r>
      <w:r>
        <w:rPr>
          <w:rFonts w:ascii="Inter" w:hAnsi="Inter" w:eastAsia="Inter"/>
        </w:rPr>
        <w:t xml:space="preserve"> </w:t>
      </w:r>
      <w:hyperlink r:id="rId13">
        <w:r>
          <w:rPr>
            <w:rFonts w:ascii="Inter" w:hAnsi="Inter"/>
            <w:color w:val="24364B"/>
            <w:u w:val="single"/>
            <w:sz w:val="19"/>
          </w:rPr>
          <w:t>https://doi.org/10.1159/000515176</w:t>
        </w:r>
      </w:hyperlink>
    </w:p>
    <w:p>
      <w:pPr>
        <w:pStyle w:val="References"/>
        <w:ind w:left="317" w:hanging="317"/>
      </w:pPr>
      <w:r>
        <w:rPr>
          <w:rFonts w:ascii="Inter" w:hAnsi="Inter" w:eastAsia="Inter"/>
        </w:rPr>
        <w:t>Carver, C. S., &amp; Scheier, M. F. (1982). Control theory: A useful conceptual framework for personality-social, clinical, and health psychology. Psychological Bulletin, 92(1), 111-135.</w:t>
      </w:r>
      <w:r>
        <w:rPr>
          <w:rFonts w:ascii="Inter" w:hAnsi="Inter" w:eastAsia="Inter"/>
        </w:rPr>
        <w:t xml:space="preserve"> </w:t>
      </w:r>
      <w:hyperlink r:id="rId14">
        <w:r>
          <w:rPr>
            <w:rFonts w:ascii="Inter" w:hAnsi="Inter"/>
            <w:color w:val="24364B"/>
            <w:u w:val="single"/>
            <w:sz w:val="19"/>
          </w:rPr>
          <w:t>https://doi.org/10.1037/0033-2909.92.1.111</w:t>
        </w:r>
      </w:hyperlink>
    </w:p>
    <w:p>
      <w:pPr>
        <w:pStyle w:val="References"/>
        <w:ind w:left="317" w:hanging="317"/>
      </w:pPr>
      <w:r>
        <w:rPr>
          <w:rFonts w:ascii="Inter" w:hAnsi="Inter" w:eastAsia="Inter"/>
        </w:rPr>
        <w:t>Damon, W. (2025). The psychology of purpose: A comprehensive approach. Review of General Psychology, 29(4), 395-406.</w:t>
      </w:r>
      <w:r>
        <w:rPr>
          <w:rFonts w:ascii="Inter" w:hAnsi="Inter" w:eastAsia="Inter"/>
        </w:rPr>
        <w:t xml:space="preserve"> </w:t>
      </w:r>
      <w:hyperlink r:id="rId15">
        <w:r>
          <w:rPr>
            <w:rFonts w:ascii="Inter" w:hAnsi="Inter"/>
            <w:color w:val="24364B"/>
            <w:u w:val="single"/>
            <w:sz w:val="19"/>
          </w:rPr>
          <w:t>https://doi.org/10.1177/10892680251324154</w:t>
        </w:r>
      </w:hyperlink>
    </w:p>
    <w:p>
      <w:pPr>
        <w:pStyle w:val="References"/>
        <w:ind w:left="317" w:hanging="317"/>
      </w:pPr>
      <w:r>
        <w:rPr>
          <w:rFonts w:ascii="Inter" w:hAnsi="Inter" w:eastAsia="Inter"/>
        </w:rPr>
        <w:t>Damon, W., Menon, J., &amp; Bronk, K. C. (2003). The development of purpose during adolescence. Applied Developmental Science, 7(3), 119-128.</w:t>
      </w:r>
      <w:r>
        <w:rPr>
          <w:rFonts w:ascii="Inter" w:hAnsi="Inter" w:eastAsia="Inter"/>
        </w:rPr>
        <w:t xml:space="preserve"> </w:t>
      </w:r>
      <w:hyperlink r:id="rId16">
        <w:r>
          <w:rPr>
            <w:rFonts w:ascii="Inter" w:hAnsi="Inter"/>
            <w:color w:val="24364B"/>
            <w:u w:val="single"/>
            <w:sz w:val="19"/>
          </w:rPr>
          <w:t>https://doi.org/10.1207/S1532480XADS0703_2</w:t>
        </w:r>
      </w:hyperlink>
    </w:p>
    <w:p>
      <w:pPr>
        <w:pStyle w:val="References"/>
        <w:ind w:left="317" w:hanging="317"/>
      </w:pPr>
      <w:r>
        <w:rPr>
          <w:rFonts w:ascii="Inter" w:hAnsi="Inter" w:eastAsia="Inter"/>
        </w:rPr>
        <w:t>Fisher, A. J., Medaglia, J. D., &amp; Jeronimus, B. F. (2018). Lack of group-to-individual generalizability is a threat to human subjects research. Proceedings of the National Academy of Sciences, 115(27), E6106-E6115.</w:t>
      </w:r>
      <w:r>
        <w:rPr>
          <w:rFonts w:ascii="Inter" w:hAnsi="Inter" w:eastAsia="Inter"/>
        </w:rPr>
        <w:t xml:space="preserve"> </w:t>
      </w:r>
      <w:hyperlink r:id="rId17">
        <w:r>
          <w:rPr>
            <w:rFonts w:ascii="Inter" w:hAnsi="Inter"/>
            <w:color w:val="24364B"/>
            <w:u w:val="single"/>
            <w:sz w:val="19"/>
          </w:rPr>
          <w:t>https://doi.org/10.1073/pnas.1711978115</w:t>
        </w:r>
      </w:hyperlink>
    </w:p>
    <w:p>
      <w:pPr>
        <w:pStyle w:val="References"/>
        <w:ind w:left="317" w:hanging="317"/>
      </w:pPr>
      <w:r>
        <w:rPr>
          <w:rFonts w:ascii="Inter" w:hAnsi="Inter" w:eastAsia="Inter"/>
        </w:rPr>
        <w:t>Fleeson, W. (2001). Toward a structure- and process-integrated view of personality: Traits as density distributions of states. Journal of Personality and Social Psychology, 80(6), 1011-1027.</w:t>
      </w:r>
      <w:r>
        <w:rPr>
          <w:rFonts w:ascii="Inter" w:hAnsi="Inter" w:eastAsia="Inter"/>
        </w:rPr>
        <w:t xml:space="preserve"> </w:t>
      </w:r>
      <w:hyperlink r:id="rId18">
        <w:r>
          <w:rPr>
            <w:rFonts w:ascii="Inter" w:hAnsi="Inter"/>
            <w:color w:val="24364B"/>
            <w:u w:val="single"/>
            <w:sz w:val="19"/>
          </w:rPr>
          <w:t>https://doi.org/10.1037/0022-3514.80.6.1011</w:t>
        </w:r>
      </w:hyperlink>
    </w:p>
    <w:p>
      <w:pPr>
        <w:pStyle w:val="References"/>
        <w:ind w:left="317" w:hanging="317"/>
      </w:pPr>
      <w:r>
        <w:rPr>
          <w:rFonts w:ascii="Inter" w:hAnsi="Inter" w:eastAsia="Inter"/>
        </w:rPr>
        <w:t>Jay, M. R. (2026a). AGGI-POS architectural index: HIA/AAS integration edition (Version v081626) [Internal architecture register]. Leadership University Online.</w:t>
      </w:r>
    </w:p>
    <w:p>
      <w:pPr>
        <w:pStyle w:val="References"/>
        <w:ind w:left="317" w:hanging="317"/>
      </w:pPr>
      <w:r>
        <w:rPr>
          <w:rFonts w:ascii="Inter" w:hAnsi="Inter" w:eastAsia="Inter"/>
        </w:rPr>
        <w:t>Jay, M. R. (2026b). ON PURPOSE: Working publication master [Unpublished manuscript]. Leadership University Online.</w:t>
      </w:r>
    </w:p>
    <w:p>
      <w:pPr>
        <w:pStyle w:val="References"/>
        <w:ind w:left="317" w:hanging="317"/>
      </w:pPr>
      <w:r>
        <w:rPr>
          <w:rFonts w:ascii="Inter" w:hAnsi="Inter" w:eastAsia="Inter"/>
        </w:rPr>
        <w:t>Kashdan, T. B., Goodman, F. R., McKnight, P. E., Brown, B., &amp; Rum, R. (2024). Purpose in life: A resolution on the definition, conceptual model, and optimal measurement. American Psychologist, 79(6), 838-853.</w:t>
      </w:r>
      <w:r>
        <w:rPr>
          <w:rFonts w:ascii="Inter" w:hAnsi="Inter" w:eastAsia="Inter"/>
        </w:rPr>
        <w:t xml:space="preserve"> </w:t>
      </w:r>
      <w:hyperlink r:id="rId19">
        <w:r>
          <w:rPr>
            <w:rFonts w:ascii="Inter" w:hAnsi="Inter"/>
            <w:color w:val="24364B"/>
            <w:u w:val="single"/>
            <w:sz w:val="19"/>
          </w:rPr>
          <w:t>https://doi.org/10.1037/amp0001223</w:t>
        </w:r>
      </w:hyperlink>
    </w:p>
    <w:p>
      <w:pPr>
        <w:pStyle w:val="References"/>
        <w:ind w:left="317" w:hanging="317"/>
      </w:pPr>
      <w:r>
        <w:rPr>
          <w:rFonts w:ascii="Inter" w:hAnsi="Inter" w:eastAsia="Inter"/>
        </w:rPr>
        <w:t>Kashdan, T. B., &amp; Rottenberg, J. (2010). Psychological flexibility as a fundamental aspect of health. Clinical Psychology Review, 30(7), 865-878.</w:t>
      </w:r>
      <w:r>
        <w:rPr>
          <w:rFonts w:ascii="Inter" w:hAnsi="Inter" w:eastAsia="Inter"/>
        </w:rPr>
        <w:t xml:space="preserve"> </w:t>
      </w:r>
      <w:hyperlink r:id="rId20">
        <w:r>
          <w:rPr>
            <w:rFonts w:ascii="Inter" w:hAnsi="Inter"/>
            <w:color w:val="24364B"/>
            <w:u w:val="single"/>
            <w:sz w:val="19"/>
          </w:rPr>
          <w:t>https://doi.org/10.1016/j.cpr.2010.03.001</w:t>
        </w:r>
      </w:hyperlink>
    </w:p>
    <w:p>
      <w:pPr>
        <w:pStyle w:val="References"/>
        <w:ind w:left="317" w:hanging="317"/>
      </w:pPr>
      <w:r>
        <w:rPr>
          <w:rFonts w:ascii="Inter" w:hAnsi="Inter" w:eastAsia="Inter"/>
        </w:rPr>
        <w:t>Kristof-Brown, A. L., Zimmerman, R. D., &amp; Johnson, E. C. (2005). Consequences of individuals' fit at work: A meta-analysis of person-job, person-organization, person-group, and person-supervisor fit. Personnel Psychology, 58(2), 281-342.</w:t>
      </w:r>
      <w:r>
        <w:rPr>
          <w:rFonts w:ascii="Inter" w:hAnsi="Inter" w:eastAsia="Inter"/>
        </w:rPr>
        <w:t xml:space="preserve"> </w:t>
      </w:r>
      <w:hyperlink r:id="rId21">
        <w:r>
          <w:rPr>
            <w:rFonts w:ascii="Inter" w:hAnsi="Inter"/>
            <w:color w:val="24364B"/>
            <w:u w:val="single"/>
            <w:sz w:val="19"/>
          </w:rPr>
          <w:t>https://doi.org/10.1111/j.1744-6570.2005.00672.x</w:t>
        </w:r>
      </w:hyperlink>
    </w:p>
    <w:p>
      <w:pPr>
        <w:pStyle w:val="References"/>
        <w:ind w:left="317" w:hanging="317"/>
      </w:pPr>
      <w:r>
        <w:rPr>
          <w:rFonts w:ascii="Inter" w:hAnsi="Inter" w:eastAsia="Inter"/>
        </w:rPr>
        <w:t>Kruglanski, A. W., Chernikova, M., Babush, M., Dugas, M., &amp; Schumpe, B. M. (2015). The architecture of goal systems: Multifinality, equifinality, and counterfinality in means-end relations. Advances in Motivation Science, 2, 69-98.</w:t>
      </w:r>
      <w:r>
        <w:rPr>
          <w:rFonts w:ascii="Inter" w:hAnsi="Inter" w:eastAsia="Inter"/>
        </w:rPr>
        <w:t xml:space="preserve"> </w:t>
      </w:r>
      <w:hyperlink r:id="rId22">
        <w:r>
          <w:rPr>
            <w:rFonts w:ascii="Inter" w:hAnsi="Inter"/>
            <w:color w:val="24364B"/>
            <w:u w:val="single"/>
            <w:sz w:val="19"/>
          </w:rPr>
          <w:t>https://doi.org/10.1016/bs.adms.2015.04.001</w:t>
        </w:r>
      </w:hyperlink>
    </w:p>
    <w:p>
      <w:pPr>
        <w:pStyle w:val="References"/>
        <w:ind w:left="317" w:hanging="317"/>
      </w:pPr>
      <w:r>
        <w:rPr>
          <w:rFonts w:ascii="Inter" w:hAnsi="Inter" w:eastAsia="Inter"/>
        </w:rPr>
        <w:t>Kunda, Z. (1990). The case for motivated reasoning. Psychological Bulletin, 108(3), 480-498.</w:t>
      </w:r>
      <w:r>
        <w:rPr>
          <w:rFonts w:ascii="Inter" w:hAnsi="Inter" w:eastAsia="Inter"/>
        </w:rPr>
        <w:t xml:space="preserve"> </w:t>
      </w:r>
      <w:hyperlink r:id="rId23">
        <w:r>
          <w:rPr>
            <w:rFonts w:ascii="Inter" w:hAnsi="Inter"/>
            <w:color w:val="24364B"/>
            <w:u w:val="single"/>
            <w:sz w:val="19"/>
          </w:rPr>
          <w:t>https://doi.org/10.1037/0033-2909.108.3.480</w:t>
        </w:r>
      </w:hyperlink>
    </w:p>
    <w:p>
      <w:pPr>
        <w:pStyle w:val="References"/>
        <w:ind w:left="317" w:hanging="317"/>
      </w:pPr>
      <w:r>
        <w:rPr>
          <w:rFonts w:ascii="Inter" w:hAnsi="Inter" w:eastAsia="Inter"/>
        </w:rPr>
        <w:t>Leadership University Online. (2026). ON PURPOSE RA=RR longitudinal evidence narrative integration register (Version 1.0) [Internal design-control artifact].</w:t>
      </w:r>
    </w:p>
    <w:p>
      <w:pPr>
        <w:pStyle w:val="References"/>
        <w:ind w:left="317" w:hanging="317"/>
      </w:pPr>
      <w:r>
        <w:rPr>
          <w:rFonts w:ascii="Inter" w:hAnsi="Inter" w:eastAsia="Inter"/>
        </w:rPr>
        <w:t>Martela, F., &amp; Steger, M. F. (2016). The three meanings of meaning in life: Distinguishing coherence, purpose, and significance. The Journal of Positive Psychology, 11(5), 531-545.</w:t>
      </w:r>
      <w:r>
        <w:rPr>
          <w:rFonts w:ascii="Inter" w:hAnsi="Inter" w:eastAsia="Inter"/>
        </w:rPr>
        <w:t xml:space="preserve"> </w:t>
      </w:r>
      <w:hyperlink r:id="rId24">
        <w:r>
          <w:rPr>
            <w:rFonts w:ascii="Inter" w:hAnsi="Inter"/>
            <w:color w:val="24364B"/>
            <w:u w:val="single"/>
            <w:sz w:val="19"/>
          </w:rPr>
          <w:t>https://doi.org/10.1080/17439760.2015.1137623</w:t>
        </w:r>
      </w:hyperlink>
    </w:p>
    <w:p>
      <w:pPr>
        <w:pStyle w:val="References"/>
        <w:ind w:left="317" w:hanging="317"/>
      </w:pPr>
      <w:r>
        <w:rPr>
          <w:rFonts w:ascii="Inter" w:hAnsi="Inter" w:eastAsia="Inter"/>
        </w:rPr>
        <w:t>McAdams, D. P., &amp; de St. Aubin, E. (1992). A theory of generativity and its assessment through self-report, behavioral acts, and narrative themes in autobiography. Journal of Personality and Social Psychology, 62(6), 1003-1015.</w:t>
      </w:r>
      <w:r>
        <w:rPr>
          <w:rFonts w:ascii="Inter" w:hAnsi="Inter" w:eastAsia="Inter"/>
        </w:rPr>
        <w:t xml:space="preserve"> </w:t>
      </w:r>
      <w:hyperlink r:id="rId25">
        <w:r>
          <w:rPr>
            <w:rFonts w:ascii="Inter" w:hAnsi="Inter"/>
            <w:color w:val="24364B"/>
            <w:u w:val="single"/>
            <w:sz w:val="19"/>
          </w:rPr>
          <w:t>https://doi.org/10.1037/0022-3514.62.6.1003</w:t>
        </w:r>
      </w:hyperlink>
    </w:p>
    <w:p>
      <w:pPr>
        <w:pStyle w:val="References"/>
        <w:ind w:left="317" w:hanging="317"/>
      </w:pPr>
      <w:r>
        <w:rPr>
          <w:rFonts w:ascii="Inter" w:hAnsi="Inter" w:eastAsia="Inter"/>
        </w:rPr>
        <w:t>McClelland, D. C., Koestner, R., &amp; Weinberger, J. (1989). How do self-attributed and implicit motives differ? Psychological Review, 96(4), 690-702.</w:t>
      </w:r>
      <w:r>
        <w:rPr>
          <w:rFonts w:ascii="Inter" w:hAnsi="Inter" w:eastAsia="Inter"/>
        </w:rPr>
        <w:t xml:space="preserve"> </w:t>
      </w:r>
      <w:hyperlink r:id="rId26">
        <w:r>
          <w:rPr>
            <w:rFonts w:ascii="Inter" w:hAnsi="Inter"/>
            <w:color w:val="24364B"/>
            <w:u w:val="single"/>
            <w:sz w:val="19"/>
          </w:rPr>
          <w:t>https://doi.org/10.1037/0033-295X.96.4.690</w:t>
        </w:r>
      </w:hyperlink>
    </w:p>
    <w:p>
      <w:pPr>
        <w:pStyle w:val="References"/>
        <w:ind w:left="317" w:hanging="317"/>
      </w:pPr>
      <w:r>
        <w:rPr>
          <w:rFonts w:ascii="Inter" w:hAnsi="Inter" w:eastAsia="Inter"/>
        </w:rPr>
        <w:t>McKnight, P. E., &amp; Kashdan, T. B. (2009). Purpose in life as a system that creates and sustains health and well-being: An integrative, testable theory. Review of General Psychology, 13(3), 242-251.</w:t>
      </w:r>
      <w:r>
        <w:rPr>
          <w:rFonts w:ascii="Inter" w:hAnsi="Inter" w:eastAsia="Inter"/>
        </w:rPr>
        <w:t xml:space="preserve"> </w:t>
      </w:r>
      <w:hyperlink r:id="rId27">
        <w:r>
          <w:rPr>
            <w:rFonts w:ascii="Inter" w:hAnsi="Inter"/>
            <w:color w:val="24364B"/>
            <w:u w:val="single"/>
            <w:sz w:val="19"/>
          </w:rPr>
          <w:t>https://doi.org/10.1037/a0017152</w:t>
        </w:r>
      </w:hyperlink>
    </w:p>
    <w:p>
      <w:pPr>
        <w:pStyle w:val="References"/>
        <w:ind w:left="317" w:hanging="317"/>
      </w:pPr>
      <w:r>
        <w:rPr>
          <w:rFonts w:ascii="Inter" w:hAnsi="Inter" w:eastAsia="Inter"/>
        </w:rPr>
        <w:t>Mischel, W., &amp; Shoda, Y. (1995). A cognitive-affective system theory of personality: Reconceptualizing situations, dispositions, dynamics, and invariance in personality structure. Psychological Review, 102(2), 246-268.</w:t>
      </w:r>
      <w:r>
        <w:rPr>
          <w:rFonts w:ascii="Inter" w:hAnsi="Inter" w:eastAsia="Inter"/>
        </w:rPr>
        <w:t xml:space="preserve"> </w:t>
      </w:r>
      <w:hyperlink r:id="rId28">
        <w:r>
          <w:rPr>
            <w:rFonts w:ascii="Inter" w:hAnsi="Inter"/>
            <w:color w:val="24364B"/>
            <w:u w:val="single"/>
            <w:sz w:val="19"/>
          </w:rPr>
          <w:t>https://doi.org/10.1037/0033-295X.102.2.246</w:t>
        </w:r>
      </w:hyperlink>
    </w:p>
    <w:p>
      <w:pPr>
        <w:pStyle w:val="References"/>
        <w:ind w:left="317" w:hanging="317"/>
      </w:pPr>
      <w:r>
        <w:rPr>
          <w:rFonts w:ascii="Inter" w:hAnsi="Inter" w:eastAsia="Inter"/>
        </w:rPr>
        <w:t>Molenaar, P. C. M. (2004). A manifesto on psychology as idiographic science: Bringing the person back into scientific psychology, this time forever. Measurement: Interdisciplinary Research and Perspectives, 2(4), 201-218.</w:t>
      </w:r>
      <w:r>
        <w:rPr>
          <w:rFonts w:ascii="Inter" w:hAnsi="Inter" w:eastAsia="Inter"/>
        </w:rPr>
        <w:t xml:space="preserve"> </w:t>
      </w:r>
      <w:hyperlink r:id="rId29">
        <w:r>
          <w:rPr>
            <w:rFonts w:ascii="Inter" w:hAnsi="Inter"/>
            <w:color w:val="24364B"/>
            <w:u w:val="single"/>
            <w:sz w:val="19"/>
          </w:rPr>
          <w:t>https://doi.org/10.1207/s15366359mea0204_1</w:t>
        </w:r>
      </w:hyperlink>
    </w:p>
    <w:p>
      <w:pPr>
        <w:pStyle w:val="References"/>
        <w:ind w:left="317" w:hanging="317"/>
      </w:pPr>
      <w:r>
        <w:rPr>
          <w:rFonts w:ascii="Inter" w:hAnsi="Inter" w:eastAsia="Inter"/>
        </w:rPr>
        <w:t>Pfund, G. N., Burrow, A. L., &amp; Hill, P. L. (2024). Purpose in daily life: Considering within-person sense of purpose variability. Journal of Research in Personality, 109, Article 104473.</w:t>
      </w:r>
      <w:r>
        <w:rPr>
          <w:rFonts w:ascii="Inter" w:hAnsi="Inter" w:eastAsia="Inter"/>
        </w:rPr>
        <w:t xml:space="preserve"> </w:t>
      </w:r>
      <w:hyperlink r:id="rId30">
        <w:r>
          <w:rPr>
            <w:rFonts w:ascii="Inter" w:hAnsi="Inter"/>
            <w:color w:val="24364B"/>
            <w:u w:val="single"/>
            <w:sz w:val="19"/>
          </w:rPr>
          <w:t>https://doi.org/10.1016/j.jrp.2024.104473</w:t>
        </w:r>
      </w:hyperlink>
    </w:p>
    <w:p>
      <w:pPr>
        <w:pStyle w:val="References"/>
        <w:ind w:left="317" w:hanging="317"/>
      </w:pPr>
      <w:r>
        <w:rPr>
          <w:rFonts w:ascii="Inter" w:hAnsi="Inter" w:eastAsia="Inter"/>
        </w:rPr>
        <w:t>Ryan, R. M., &amp; Deci, E. L. (2000). Self-determination theory and the facilitation of intrinsic motivation, social development, and well-being. American Psychologist, 55(1), 68-78.</w:t>
      </w:r>
      <w:r>
        <w:rPr>
          <w:rFonts w:ascii="Inter" w:hAnsi="Inter" w:eastAsia="Inter"/>
        </w:rPr>
        <w:t xml:space="preserve"> </w:t>
      </w:r>
      <w:hyperlink r:id="rId31">
        <w:r>
          <w:rPr>
            <w:rFonts w:ascii="Inter" w:hAnsi="Inter"/>
            <w:color w:val="24364B"/>
            <w:u w:val="single"/>
            <w:sz w:val="19"/>
          </w:rPr>
          <w:t>https://doi.org/10.1037/0003-066X.55.1.68</w:t>
        </w:r>
      </w:hyperlink>
    </w:p>
    <w:p>
      <w:pPr>
        <w:pStyle w:val="References"/>
        <w:ind w:left="317" w:hanging="317"/>
      </w:pPr>
      <w:r>
        <w:rPr>
          <w:rFonts w:ascii="Inter" w:hAnsi="Inter" w:eastAsia="Inter"/>
        </w:rPr>
        <w:t>Schwartz, S. H. (1992). Universals in the content and structure of values: Theoretical advances and empirical tests in twenty countries. Advances in Experimental Social Psychology, 25, 1-65.</w:t>
      </w:r>
      <w:r>
        <w:rPr>
          <w:rFonts w:ascii="Inter" w:hAnsi="Inter" w:eastAsia="Inter"/>
        </w:rPr>
        <w:t xml:space="preserve"> </w:t>
      </w:r>
      <w:hyperlink r:id="rId32">
        <w:r>
          <w:rPr>
            <w:rFonts w:ascii="Inter" w:hAnsi="Inter"/>
            <w:color w:val="24364B"/>
            <w:u w:val="single"/>
            <w:sz w:val="19"/>
          </w:rPr>
          <w:t>https://doi.org/10.1016/S0065-2601(08)60281-6</w:t>
        </w:r>
      </w:hyperlink>
    </w:p>
    <w:p>
      <w:pPr>
        <w:pStyle w:val="References"/>
        <w:ind w:left="317" w:hanging="317"/>
      </w:pPr>
      <w:r>
        <w:rPr>
          <w:rFonts w:ascii="Inter" w:hAnsi="Inter" w:eastAsia="Inter"/>
        </w:rPr>
        <w:t>Shiffman, S., Stone, A. A., &amp; Hufford, M. R. (2008). Ecological momentary assessment. Annual Review of Clinical Psychology, 4, 1-32.</w:t>
      </w:r>
      <w:r>
        <w:rPr>
          <w:rFonts w:ascii="Inter" w:hAnsi="Inter" w:eastAsia="Inter"/>
        </w:rPr>
        <w:t xml:space="preserve"> </w:t>
      </w:r>
      <w:hyperlink r:id="rId33">
        <w:r>
          <w:rPr>
            <w:rFonts w:ascii="Inter" w:hAnsi="Inter"/>
            <w:color w:val="24364B"/>
            <w:u w:val="single"/>
            <w:sz w:val="19"/>
          </w:rPr>
          <w:t>https://doi.org/10.1146/annurev.clinpsy.3.022806.091415</w:t>
        </w:r>
      </w:hyperlink>
    </w:p>
    <w:p>
      <w:pPr>
        <w:pStyle w:val="References"/>
        <w:ind w:left="317" w:hanging="317"/>
      </w:pPr>
      <w:r>
        <w:rPr>
          <w:rFonts w:ascii="Inter" w:hAnsi="Inter" w:eastAsia="Inter"/>
        </w:rPr>
        <w:t>Sutin, A. R., Zavala, D., Milad, E., Stephan, Y., Karakose, S., Brown, J., Terracciano, A., &amp; Luchetti, M. (2026). Purpose in life and mortality: A meta-analysis of the published literature and individual-participant data of 488,765 participants followed for up to 32 years. Psychological Medicine, 56, e214.</w:t>
      </w:r>
      <w:r>
        <w:rPr>
          <w:rFonts w:ascii="Inter" w:hAnsi="Inter" w:eastAsia="Inter"/>
        </w:rPr>
        <w:t xml:space="preserve"> </w:t>
      </w:r>
      <w:hyperlink r:id="rId34">
        <w:r>
          <w:rPr>
            <w:rFonts w:ascii="Inter" w:hAnsi="Inter"/>
            <w:color w:val="24364B"/>
            <w:u w:val="single"/>
            <w:sz w:val="19"/>
          </w:rPr>
          <w:t>https://doi.org/10.1017/S0033291726104863</w:t>
        </w:r>
      </w:hyperlink>
    </w:p>
    <w:p>
      <w:pPr>
        <w:pStyle w:val="References"/>
        <w:ind w:left="317" w:hanging="317"/>
      </w:pPr>
      <w:r>
        <w:rPr>
          <w:rFonts w:ascii="Inter" w:hAnsi="Inter" w:eastAsia="Inter"/>
        </w:rPr>
        <w:t>Swann, W. B., Jr., &amp; Read, S. J. (1981). Self-verification processes: How we sustain our self-conceptions. Journal of Experimental Social Psychology, 17(4), 351-372.</w:t>
      </w:r>
      <w:r>
        <w:rPr>
          <w:rFonts w:ascii="Inter" w:hAnsi="Inter" w:eastAsia="Inter"/>
        </w:rPr>
        <w:t xml:space="preserve"> </w:t>
      </w:r>
      <w:hyperlink r:id="rId35">
        <w:r>
          <w:rPr>
            <w:rFonts w:ascii="Inter" w:hAnsi="Inter"/>
            <w:color w:val="24364B"/>
            <w:u w:val="single"/>
            <w:sz w:val="19"/>
          </w:rPr>
          <w:t>https://doi.org/10.1016/0022-1031(81)90043-3</w:t>
        </w:r>
      </w:hyperlink>
    </w:p>
    <w:p>
      <w:pPr>
        <w:pStyle w:val="References"/>
        <w:ind w:left="317" w:hanging="317"/>
      </w:pPr>
      <w:r>
        <w:rPr>
          <w:rFonts w:ascii="Inter" w:hAnsi="Inter" w:eastAsia="Inter"/>
        </w:rPr>
        <w:t>Wrosch, C., Scheier, M. F., Miller, G. E., Schulz, R., &amp; Carver, C. S. (2003). Adaptive self-regulation of unattainable goals: Goal disengagement, goal reengagement, and subjective well-being. Personality and Social Psychology Bulletin, 29(12), 1494-1508.</w:t>
      </w:r>
      <w:r>
        <w:rPr>
          <w:rFonts w:ascii="Inter" w:hAnsi="Inter" w:eastAsia="Inter"/>
        </w:rPr>
        <w:t xml:space="preserve"> </w:t>
      </w:r>
      <w:hyperlink r:id="rId36">
        <w:r>
          <w:rPr>
            <w:rFonts w:ascii="Inter" w:hAnsi="Inter"/>
            <w:color w:val="24364B"/>
            <w:u w:val="single"/>
            <w:sz w:val="19"/>
          </w:rPr>
          <w:t>https://doi.org/10.1177/0146167203256921</w:t>
        </w:r>
      </w:hyperlink>
    </w:p>
    <w:p>
      <w:pPr>
        <w:pStyle w:val="Heading1"/>
        <w:keepNext/>
      </w:pPr>
      <w:r>
        <w:rPr>
          <w:rFonts w:ascii="Inter" w:hAnsi="Inter" w:eastAsia="Inter"/>
        </w:rPr>
        <w:t>Document Control</w:t>
      </w:r>
    </w:p>
    <w:tbl>
      <w:tblPr>
        <w:tblW w:type="auto" w:w="0"/>
        <w:jc w:val="center"/>
        <w:tblLayout w:type="fixed"/>
        <w:tblLook w:firstColumn="1" w:firstRow="1" w:lastColumn="0" w:lastRow="0" w:noHBand="0" w:noVBand="1" w:val="04A0"/>
      </w:tblPr>
      <w:tblGrid>
        <w:gridCol w:w="5026"/>
        <w:gridCol w:w="5026"/>
      </w:tblGrid>
      <w:tr>
        <w:trPr>
          <w:tblHeader w:val="true"/>
          <w:cantSplit/>
        </w:trPr>
        <w:tc>
          <w:tcPr>
            <w:tcW w:type="dxa" w:w="1944"/>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Control</w:t>
            </w:r>
          </w:p>
        </w:tc>
        <w:tc>
          <w:tcPr>
            <w:tcW w:type="dxa" w:w="8136"/>
            <w:vAlign w:val="center"/>
            <w:shd w:fill="24364B"/>
            <w:tcMar>
              <w:top w:w="95" w:type="dxa"/>
              <w:start w:w="85" w:type="dxa"/>
              <w:bottom w:w="95" w:type="dxa"/>
              <w:end w:w="85" w:type="dxa"/>
            </w:tcMar>
            <w:tcBorders>
              <w:top w:val="single" w:sz="5" w:color="FFFFFF"/>
              <w:left w:val="single" w:sz="5" w:color="FFFFFF"/>
              <w:bottom w:val="single" w:sz="5" w:color="FFFFFF"/>
              <w:right w:val="single" w:sz="5" w:color="FFFFFF"/>
            </w:tcBorders>
          </w:tcPr>
          <w:p>
            <w:pPr>
              <w:widowControl/>
              <w:jc w:val="left"/>
            </w:pPr>
            <w:r>
              <w:rPr>
                <w:rFonts w:ascii="Inter" w:hAnsi="Inter" w:eastAsia="Inter"/>
                <w:b/>
                <w:color w:val="FFFFFF"/>
                <w:sz w:val="16"/>
              </w:rPr>
              <w:t>Current determination</w:t>
            </w:r>
          </w:p>
        </w:tc>
      </w:tr>
      <w:tr>
        <w:trPr>
          <w:cantSplit/>
        </w:trPr>
        <w:tc>
          <w:tcPr>
            <w:tcW w:type="dxa" w:w="194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Artifact</w:t>
            </w:r>
          </w:p>
        </w:tc>
        <w:tc>
          <w:tcPr>
            <w:tcW w:type="dxa" w:w="813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ON PURPOSE Purpose-Orchestration EAM Research Paper</w:t>
            </w:r>
          </w:p>
        </w:tc>
      </w:tr>
      <w:tr>
        <w:trPr>
          <w:cantSplit/>
        </w:trPr>
        <w:tc>
          <w:tcPr>
            <w:tcW w:type="dxa" w:w="194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Version</w:t>
            </w:r>
          </w:p>
        </w:tc>
        <w:tc>
          <w:tcPr>
            <w:tcW w:type="dxa" w:w="813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v081726</w:t>
            </w:r>
          </w:p>
        </w:tc>
      </w:tr>
      <w:tr>
        <w:trPr>
          <w:cantSplit/>
        </w:trPr>
        <w:tc>
          <w:tcPr>
            <w:tcW w:type="dxa" w:w="194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Status</w:t>
            </w:r>
          </w:p>
        </w:tc>
        <w:tc>
          <w:tcPr>
            <w:tcW w:type="dxa" w:w="813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Working Research Paper | Emerging Architecture Moment | Not Canon | Not peer reviewed</w:t>
            </w:r>
          </w:p>
        </w:tc>
      </w:tr>
      <w:tr>
        <w:trPr>
          <w:cantSplit/>
        </w:trPr>
        <w:tc>
          <w:tcPr>
            <w:tcW w:type="dxa" w:w="194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Author authority</w:t>
            </w:r>
          </w:p>
        </w:tc>
        <w:tc>
          <w:tcPr>
            <w:tcW w:type="dxa" w:w="813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Mike R. Jay retains authority over meaning, Purpose, architecture, adoption, and publication.</w:t>
            </w:r>
          </w:p>
        </w:tc>
      </w:tr>
      <w:tr>
        <w:trPr>
          <w:cantSplit/>
        </w:trPr>
        <w:tc>
          <w:tcPr>
            <w:tcW w:type="dxa" w:w="1944"/>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Research boundary</w:t>
            </w:r>
          </w:p>
        </w:tc>
        <w:tc>
          <w:tcPr>
            <w:tcW w:type="dxa" w:w="8136"/>
            <w:vAlign w:val="top"/>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Component evidence is stronger than evidence for the integrated model. The model remains provisional and falsifiable.</w:t>
            </w:r>
          </w:p>
        </w:tc>
      </w:tr>
      <w:tr>
        <w:trPr>
          <w:cantSplit/>
        </w:trPr>
        <w:tc>
          <w:tcPr>
            <w:tcW w:type="dxa" w:w="1944"/>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Next gate</w:t>
            </w:r>
          </w:p>
        </w:tc>
        <w:tc>
          <w:tcPr>
            <w:tcW w:type="dxa" w:w="8136"/>
            <w:vAlign w:val="top"/>
            <w:shd w:fill="F8FAFB"/>
            <w:tcMar>
              <w:top w:w="80" w:type="dxa"/>
              <w:start w:w="85" w:type="dxa"/>
              <w:bottom w:w="80" w:type="dxa"/>
              <w:end w:w="85" w:type="dxa"/>
            </w:tcMar>
            <w:tcBorders>
              <w:top w:val="single" w:sz="4" w:color="AAB4BE"/>
              <w:left w:val="single" w:sz="4" w:color="AAB4BE"/>
              <w:bottom w:val="single" w:sz="4" w:color="AAB4BE"/>
              <w:right w:val="single" w:sz="4" w:color="AAB4BE"/>
            </w:tcBorders>
          </w:tcPr>
          <w:p>
            <w:pPr>
              <w:widowControl/>
              <w:spacing w:after="0" w:line="250" w:lineRule="auto"/>
            </w:pPr>
            <w:r>
              <w:rPr>
                <w:rFonts w:ascii="Inter" w:hAnsi="Inter" w:eastAsia="Inter"/>
                <w:color w:val="22272E"/>
                <w:sz w:val="16"/>
              </w:rPr>
              <w:t>Architecture review, research-method review, construct adjudication, and decision on ON PURPOSE integration.</w:t>
            </w:r>
          </w:p>
        </w:tc>
      </w:tr>
    </w:tbl>
    <w:p>
      <w:pPr>
        <w:spacing w:after="0"/>
      </w:pPr>
    </w:p>
    <w:sectPr w:rsidR="00FC693F" w:rsidRPr="0006063C" w:rsidSect="00034616">
      <w:headerReference w:type="default" r:id="rId9"/>
      <w:footerReference w:type="default" r:id="rId10"/>
      <w:pgSz w:w="12240" w:h="15840"/>
      <w:pgMar w:top="979" w:right="1094" w:bottom="950" w:left="1094"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Inter" w:hAnsi="Inter" w:eastAsia="Inter"/>
        <w:color w:val="4D5F72"/>
        <w:sz w:val="16"/>
      </w:rPr>
      <w:t xml:space="preserve">Working Research Paper | EAM | v081726   •   </w:t>
    </w:r>
    <w:r>
      <w:rPr>
        <w:rFonts w:ascii="Inter" w:hAnsi="Inter" w:eastAsia="Inter"/>
        <w:color w:val="4D5F72"/>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4" w:space="2" w:color="AAB4BE"/>
      </w:pBdr>
    </w:pPr>
    <w:r>
      <w:rPr>
        <w:rFonts w:ascii="Inter" w:hAnsi="Inter" w:eastAsia="Inter"/>
        <w:b/>
        <w:color w:val="4D5F72"/>
        <w:sz w:val="16"/>
      </w:rPr>
      <w:t>ON PURPOSE | PURPOSE AS THAT WHICH PERSISTS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71" w:lineRule="auto"/>
    </w:pPr>
    <w:rPr>
      <w:rFonts w:ascii="Inter" w:hAnsi="Inter"/>
      <w:color w:val="2227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Inter" w:hAnsi="Inter"/>
      <w:b/>
      <w:bCs/>
      <w:color w:val="24364B"/>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Inter" w:hAnsi="Inter"/>
      <w:b/>
      <w:bCs/>
      <w:color w:val="24364B"/>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Inter" w:hAnsi="Inter"/>
      <w:b/>
      <w:bCs/>
      <w:color w:val="4D5F7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Inter" w:hAnsi="Inter"/>
      <w:b/>
      <w:color w:val="2436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Inter" w:hAnsi="Inter"/>
      <w:i/>
      <w:iCs/>
      <w:color w:val="4D5F72"/>
      <w:spacing w:val="15"/>
      <w:sz w:val="29"/>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00" w:line="271" w:lineRule="auto"/>
    </w:pPr>
    <w:rPr>
      <w:rFonts w:ascii="Inter" w:hAnsi="Inter"/>
      <w:color w:val="22272E"/>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50" w:lineRule="auto"/>
    </w:pPr>
    <w:rPr>
      <w:rFonts w:ascii="Inter" w:hAnsi="Inter"/>
      <w:color w:val="22272E"/>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177/1745691613504116" TargetMode="External"/><Relationship Id="rId13" Type="http://schemas.openxmlformats.org/officeDocument/2006/relationships/hyperlink" Target="https://doi.org/10.1159/000515176" TargetMode="External"/><Relationship Id="rId14" Type="http://schemas.openxmlformats.org/officeDocument/2006/relationships/hyperlink" Target="https://doi.org/10.1037/0033-2909.92.1.111" TargetMode="External"/><Relationship Id="rId15" Type="http://schemas.openxmlformats.org/officeDocument/2006/relationships/hyperlink" Target="https://doi.org/10.1177/10892680251324154" TargetMode="External"/><Relationship Id="rId16" Type="http://schemas.openxmlformats.org/officeDocument/2006/relationships/hyperlink" Target="https://doi.org/10.1207/S1532480XADS0703_2" TargetMode="External"/><Relationship Id="rId17" Type="http://schemas.openxmlformats.org/officeDocument/2006/relationships/hyperlink" Target="https://doi.org/10.1073/pnas.1711978115" TargetMode="External"/><Relationship Id="rId18" Type="http://schemas.openxmlformats.org/officeDocument/2006/relationships/hyperlink" Target="https://doi.org/10.1037/0022-3514.80.6.1011" TargetMode="External"/><Relationship Id="rId19" Type="http://schemas.openxmlformats.org/officeDocument/2006/relationships/hyperlink" Target="https://doi.org/10.1037/amp0001223" TargetMode="External"/><Relationship Id="rId20" Type="http://schemas.openxmlformats.org/officeDocument/2006/relationships/hyperlink" Target="https://doi.org/10.1016/j.cpr.2010.03.001" TargetMode="External"/><Relationship Id="rId21" Type="http://schemas.openxmlformats.org/officeDocument/2006/relationships/hyperlink" Target="https://doi.org/10.1111/j.1744-6570.2005.00672.x" TargetMode="External"/><Relationship Id="rId22" Type="http://schemas.openxmlformats.org/officeDocument/2006/relationships/hyperlink" Target="https://doi.org/10.1016/bs.adms.2015.04.001" TargetMode="External"/><Relationship Id="rId23" Type="http://schemas.openxmlformats.org/officeDocument/2006/relationships/hyperlink" Target="https://doi.org/10.1037/0033-2909.108.3.480" TargetMode="External"/><Relationship Id="rId24" Type="http://schemas.openxmlformats.org/officeDocument/2006/relationships/hyperlink" Target="https://doi.org/10.1080/17439760.2015.1137623" TargetMode="External"/><Relationship Id="rId25" Type="http://schemas.openxmlformats.org/officeDocument/2006/relationships/hyperlink" Target="https://doi.org/10.1037/0022-3514.62.6.1003" TargetMode="External"/><Relationship Id="rId26" Type="http://schemas.openxmlformats.org/officeDocument/2006/relationships/hyperlink" Target="https://doi.org/10.1037/0033-295X.96.4.690" TargetMode="External"/><Relationship Id="rId27" Type="http://schemas.openxmlformats.org/officeDocument/2006/relationships/hyperlink" Target="https://doi.org/10.1037/a0017152" TargetMode="External"/><Relationship Id="rId28" Type="http://schemas.openxmlformats.org/officeDocument/2006/relationships/hyperlink" Target="https://doi.org/10.1037/0033-295X.102.2.246" TargetMode="External"/><Relationship Id="rId29" Type="http://schemas.openxmlformats.org/officeDocument/2006/relationships/hyperlink" Target="https://doi.org/10.1207/s15366359mea0204_1" TargetMode="External"/><Relationship Id="rId30" Type="http://schemas.openxmlformats.org/officeDocument/2006/relationships/hyperlink" Target="https://doi.org/10.1016/j.jrp.2024.104473" TargetMode="External"/><Relationship Id="rId31" Type="http://schemas.openxmlformats.org/officeDocument/2006/relationships/hyperlink" Target="https://doi.org/10.1037/0003-066X.55.1.68" TargetMode="External"/><Relationship Id="rId32" Type="http://schemas.openxmlformats.org/officeDocument/2006/relationships/hyperlink" Target="https://doi.org/10.1016/S0065-2601(08)60281-6" TargetMode="External"/><Relationship Id="rId33" Type="http://schemas.openxmlformats.org/officeDocument/2006/relationships/hyperlink" Target="https://doi.org/10.1146/annurev.clinpsy.3.022806.091415" TargetMode="External"/><Relationship Id="rId34" Type="http://schemas.openxmlformats.org/officeDocument/2006/relationships/hyperlink" Target="https://doi.org/10.1017/S0033291726104863" TargetMode="External"/><Relationship Id="rId35" Type="http://schemas.openxmlformats.org/officeDocument/2006/relationships/hyperlink" Target="https://doi.org/10.1016/0022-1031(81)90043-3" TargetMode="External"/><Relationship Id="rId36" Type="http://schemas.openxmlformats.org/officeDocument/2006/relationships/hyperlink" Target="https://doi.org/10.1177/01461672032569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as That Which Persists: Individual Difference, Motive Structure, and the Generative or Degenerative Expression of Purpose</dc:title>
  <dc:subject>Conceptual research paper for the ON PURPOSE effort</dc:subject>
  <dc:creator>Mike R. Jay, Developmentalist, Leadership University Online</dc:creator>
  <cp:keywords>Purpose, individual differences, motive structure, generativity, regulatory flexibility, HIA, AAS, ON PURPOSE</cp:keywords>
  <dc:description>Working research paper. EAM. Not canon. Version v081726.</dc:description>
  <cp:lastModifiedBy>Leadership University Online</cp:lastModifiedBy>
  <cp:revision>1</cp:revision>
  <dcterms:created xsi:type="dcterms:W3CDTF">2026-08-17T12:00:00Z</dcterms:created>
  <dcterms:modified xsi:type="dcterms:W3CDTF">2026-08-17T12:00:00Z</dcterms:modified>
  <cp:category/>
</cp:coreProperties>
</file>